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97A76" w14:textId="3596D4E9" w:rsidR="00E82CA4" w:rsidRDefault="00781887" w:rsidP="00897CA8">
      <w:pPr>
        <w:pStyle w:val="ListParagraph"/>
        <w:ind w:left="360"/>
        <w:jc w:val="center"/>
        <w:rPr>
          <w:i/>
          <w:color w:val="0070C0"/>
          <w:sz w:val="28"/>
          <w:szCs w:val="28"/>
        </w:rPr>
      </w:pPr>
      <w:bookmarkStart w:id="0" w:name="_GoBack"/>
      <w:bookmarkEnd w:id="0"/>
      <w:r w:rsidRPr="00781887">
        <w:rPr>
          <w:i/>
          <w:noProof/>
          <w:color w:val="0070C0"/>
          <w:sz w:val="28"/>
          <w:szCs w:val="28"/>
        </w:rPr>
        <w:drawing>
          <wp:anchor distT="0" distB="0" distL="114300" distR="114300" simplePos="0" relativeHeight="251676672" behindDoc="1" locked="0" layoutInCell="1" allowOverlap="1" wp14:anchorId="6EB3F269" wp14:editId="2B283C18">
            <wp:simplePos x="0" y="0"/>
            <wp:positionH relativeFrom="column">
              <wp:posOffset>-276447</wp:posOffset>
            </wp:positionH>
            <wp:positionV relativeFrom="paragraph">
              <wp:posOffset>-287078</wp:posOffset>
            </wp:positionV>
            <wp:extent cx="6661150" cy="8877652"/>
            <wp:effectExtent l="0" t="0" r="6350" b="0"/>
            <wp:wrapNone/>
            <wp:docPr id="4" name="Picture 4" descr="C:\Users\nlpittman\Downloads\AuditReportCove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lpittman\Downloads\AuditReportCover-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269" cy="88831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B9F97" w14:textId="77777777" w:rsidR="005510DE" w:rsidRDefault="005510DE">
      <w:pPr>
        <w:rPr>
          <w:b/>
          <w:color w:val="0070C0"/>
          <w:sz w:val="24"/>
          <w:szCs w:val="24"/>
          <w:u w:val="single"/>
        </w:rPr>
      </w:pPr>
      <w:r>
        <w:rPr>
          <w:b/>
          <w:color w:val="0070C0"/>
          <w:sz w:val="24"/>
          <w:szCs w:val="24"/>
          <w:u w:val="single"/>
        </w:rPr>
        <w:br w:type="page"/>
      </w:r>
    </w:p>
    <w:sdt>
      <w:sdtPr>
        <w:rPr>
          <w:rFonts w:asciiTheme="minorHAnsi" w:eastAsiaTheme="minorHAnsi" w:hAnsiTheme="minorHAnsi" w:cstheme="minorBidi"/>
          <w:color w:val="auto"/>
          <w:sz w:val="22"/>
          <w:szCs w:val="22"/>
        </w:rPr>
        <w:id w:val="-1878768826"/>
        <w:docPartObj>
          <w:docPartGallery w:val="Table of Contents"/>
          <w:docPartUnique/>
        </w:docPartObj>
      </w:sdtPr>
      <w:sdtEndPr>
        <w:rPr>
          <w:b/>
          <w:bCs/>
          <w:noProof/>
        </w:rPr>
      </w:sdtEndPr>
      <w:sdtContent>
        <w:p w14:paraId="30B62978" w14:textId="77777777" w:rsidR="00EA455C" w:rsidRDefault="00EA455C">
          <w:pPr>
            <w:pStyle w:val="TOCHeading"/>
          </w:pPr>
          <w:r>
            <w:t>Table of Contents</w:t>
          </w:r>
        </w:p>
        <w:p w14:paraId="5761A141" w14:textId="77777777" w:rsidR="00EA455C" w:rsidRPr="00EA455C" w:rsidRDefault="00EA455C" w:rsidP="00EA455C"/>
        <w:p w14:paraId="57743173" w14:textId="77777777" w:rsidR="00B161E9" w:rsidRDefault="00B161E9">
          <w:pPr>
            <w:pStyle w:val="TOC1"/>
            <w:tabs>
              <w:tab w:val="right" w:leader="dot" w:pos="9350"/>
            </w:tabs>
          </w:pPr>
        </w:p>
        <w:p w14:paraId="08C2B2B5" w14:textId="77777777" w:rsidR="00CA775D" w:rsidRDefault="00EA455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0488558" w:history="1">
            <w:r w:rsidR="00CA775D" w:rsidRPr="004A7B2A">
              <w:rPr>
                <w:rStyle w:val="Hyperlink"/>
                <w:noProof/>
              </w:rPr>
              <w:t>Executive Summary</w:t>
            </w:r>
            <w:r w:rsidR="00CA775D">
              <w:rPr>
                <w:noProof/>
                <w:webHidden/>
              </w:rPr>
              <w:tab/>
            </w:r>
            <w:r w:rsidR="00CA775D">
              <w:rPr>
                <w:noProof/>
                <w:webHidden/>
              </w:rPr>
              <w:fldChar w:fldCharType="begin"/>
            </w:r>
            <w:r w:rsidR="00CA775D">
              <w:rPr>
                <w:noProof/>
                <w:webHidden/>
              </w:rPr>
              <w:instrText xml:space="preserve"> PAGEREF _Toc490488558 \h </w:instrText>
            </w:r>
            <w:r w:rsidR="00CA775D">
              <w:rPr>
                <w:noProof/>
                <w:webHidden/>
              </w:rPr>
            </w:r>
            <w:r w:rsidR="00CA775D">
              <w:rPr>
                <w:noProof/>
                <w:webHidden/>
              </w:rPr>
              <w:fldChar w:fldCharType="separate"/>
            </w:r>
            <w:r w:rsidR="00CA775D">
              <w:rPr>
                <w:noProof/>
                <w:webHidden/>
              </w:rPr>
              <w:t>1</w:t>
            </w:r>
            <w:r w:rsidR="00CA775D">
              <w:rPr>
                <w:noProof/>
                <w:webHidden/>
              </w:rPr>
              <w:fldChar w:fldCharType="end"/>
            </w:r>
          </w:hyperlink>
        </w:p>
        <w:p w14:paraId="304E7F54" w14:textId="77777777" w:rsidR="00CA775D" w:rsidRDefault="00FE62C9">
          <w:pPr>
            <w:pStyle w:val="TOC1"/>
            <w:tabs>
              <w:tab w:val="right" w:leader="dot" w:pos="9350"/>
            </w:tabs>
            <w:rPr>
              <w:rFonts w:eastAsiaTheme="minorEastAsia"/>
              <w:noProof/>
            </w:rPr>
          </w:pPr>
          <w:hyperlink w:anchor="_Toc490488559" w:history="1">
            <w:r w:rsidR="00CA775D" w:rsidRPr="004A7B2A">
              <w:rPr>
                <w:rStyle w:val="Hyperlink"/>
                <w:noProof/>
              </w:rPr>
              <w:t>Confirmation of Organizational Independence</w:t>
            </w:r>
            <w:r w:rsidR="00CA775D">
              <w:rPr>
                <w:noProof/>
                <w:webHidden/>
              </w:rPr>
              <w:tab/>
            </w:r>
            <w:r w:rsidR="00CA775D">
              <w:rPr>
                <w:noProof/>
                <w:webHidden/>
              </w:rPr>
              <w:fldChar w:fldCharType="begin"/>
            </w:r>
            <w:r w:rsidR="00CA775D">
              <w:rPr>
                <w:noProof/>
                <w:webHidden/>
              </w:rPr>
              <w:instrText xml:space="preserve"> PAGEREF _Toc490488559 \h </w:instrText>
            </w:r>
            <w:r w:rsidR="00CA775D">
              <w:rPr>
                <w:noProof/>
                <w:webHidden/>
              </w:rPr>
            </w:r>
            <w:r w:rsidR="00CA775D">
              <w:rPr>
                <w:noProof/>
                <w:webHidden/>
              </w:rPr>
              <w:fldChar w:fldCharType="separate"/>
            </w:r>
            <w:r w:rsidR="00CA775D">
              <w:rPr>
                <w:noProof/>
                <w:webHidden/>
              </w:rPr>
              <w:t>2</w:t>
            </w:r>
            <w:r w:rsidR="00CA775D">
              <w:rPr>
                <w:noProof/>
                <w:webHidden/>
              </w:rPr>
              <w:fldChar w:fldCharType="end"/>
            </w:r>
          </w:hyperlink>
        </w:p>
        <w:p w14:paraId="4E778E7C" w14:textId="77777777" w:rsidR="00CA775D" w:rsidRDefault="00FE62C9">
          <w:pPr>
            <w:pStyle w:val="TOC1"/>
            <w:tabs>
              <w:tab w:val="right" w:leader="dot" w:pos="9350"/>
            </w:tabs>
            <w:rPr>
              <w:rFonts w:eastAsiaTheme="minorEastAsia"/>
              <w:noProof/>
            </w:rPr>
          </w:pPr>
          <w:hyperlink w:anchor="_Toc490488560" w:history="1">
            <w:r w:rsidR="00CA775D" w:rsidRPr="004A7B2A">
              <w:rPr>
                <w:rStyle w:val="Hyperlink"/>
                <w:noProof/>
              </w:rPr>
              <w:t>Organizational Chart</w:t>
            </w:r>
            <w:r w:rsidR="00CA775D">
              <w:rPr>
                <w:noProof/>
                <w:webHidden/>
              </w:rPr>
              <w:tab/>
            </w:r>
            <w:r w:rsidR="00CA775D">
              <w:rPr>
                <w:noProof/>
                <w:webHidden/>
              </w:rPr>
              <w:fldChar w:fldCharType="begin"/>
            </w:r>
            <w:r w:rsidR="00CA775D">
              <w:rPr>
                <w:noProof/>
                <w:webHidden/>
              </w:rPr>
              <w:instrText xml:space="preserve"> PAGEREF _Toc490488560 \h </w:instrText>
            </w:r>
            <w:r w:rsidR="00CA775D">
              <w:rPr>
                <w:noProof/>
                <w:webHidden/>
              </w:rPr>
            </w:r>
            <w:r w:rsidR="00CA775D">
              <w:rPr>
                <w:noProof/>
                <w:webHidden/>
              </w:rPr>
              <w:fldChar w:fldCharType="separate"/>
            </w:r>
            <w:r w:rsidR="00CA775D">
              <w:rPr>
                <w:noProof/>
                <w:webHidden/>
              </w:rPr>
              <w:t>3</w:t>
            </w:r>
            <w:r w:rsidR="00CA775D">
              <w:rPr>
                <w:noProof/>
                <w:webHidden/>
              </w:rPr>
              <w:fldChar w:fldCharType="end"/>
            </w:r>
          </w:hyperlink>
        </w:p>
        <w:p w14:paraId="5BA20423" w14:textId="77777777" w:rsidR="00CA775D" w:rsidRDefault="00FE62C9">
          <w:pPr>
            <w:pStyle w:val="TOC1"/>
            <w:tabs>
              <w:tab w:val="right" w:leader="dot" w:pos="9350"/>
            </w:tabs>
            <w:rPr>
              <w:rFonts w:eastAsiaTheme="minorEastAsia"/>
              <w:noProof/>
            </w:rPr>
          </w:pPr>
          <w:hyperlink w:anchor="_Toc490488561" w:history="1">
            <w:r w:rsidR="00CA775D" w:rsidRPr="004A7B2A">
              <w:rPr>
                <w:rStyle w:val="Hyperlink"/>
                <w:noProof/>
              </w:rPr>
              <w:t>Audit Staff Profile</w:t>
            </w:r>
            <w:r w:rsidR="00CA775D">
              <w:rPr>
                <w:noProof/>
                <w:webHidden/>
              </w:rPr>
              <w:tab/>
            </w:r>
            <w:r w:rsidR="00CA775D">
              <w:rPr>
                <w:noProof/>
                <w:webHidden/>
              </w:rPr>
              <w:fldChar w:fldCharType="begin"/>
            </w:r>
            <w:r w:rsidR="00CA775D">
              <w:rPr>
                <w:noProof/>
                <w:webHidden/>
              </w:rPr>
              <w:instrText xml:space="preserve"> PAGEREF _Toc490488561 \h </w:instrText>
            </w:r>
            <w:r w:rsidR="00CA775D">
              <w:rPr>
                <w:noProof/>
                <w:webHidden/>
              </w:rPr>
            </w:r>
            <w:r w:rsidR="00CA775D">
              <w:rPr>
                <w:noProof/>
                <w:webHidden/>
              </w:rPr>
              <w:fldChar w:fldCharType="separate"/>
            </w:r>
            <w:r w:rsidR="00CA775D">
              <w:rPr>
                <w:noProof/>
                <w:webHidden/>
              </w:rPr>
              <w:t>4</w:t>
            </w:r>
            <w:r w:rsidR="00CA775D">
              <w:rPr>
                <w:noProof/>
                <w:webHidden/>
              </w:rPr>
              <w:fldChar w:fldCharType="end"/>
            </w:r>
          </w:hyperlink>
        </w:p>
        <w:p w14:paraId="71858B6D" w14:textId="77777777" w:rsidR="00CA775D" w:rsidRDefault="00FE62C9">
          <w:pPr>
            <w:pStyle w:val="TOC1"/>
            <w:tabs>
              <w:tab w:val="right" w:leader="dot" w:pos="9350"/>
            </w:tabs>
            <w:rPr>
              <w:rFonts w:eastAsiaTheme="minorEastAsia"/>
              <w:noProof/>
            </w:rPr>
          </w:pPr>
          <w:hyperlink w:anchor="_Toc490488562" w:history="1">
            <w:r w:rsidR="00CA775D" w:rsidRPr="004A7B2A">
              <w:rPr>
                <w:rStyle w:val="Hyperlink"/>
                <w:noProof/>
              </w:rPr>
              <w:t>Audits and Projects Completed in FY17</w:t>
            </w:r>
            <w:r w:rsidR="00CA775D">
              <w:rPr>
                <w:noProof/>
                <w:webHidden/>
              </w:rPr>
              <w:tab/>
            </w:r>
            <w:r w:rsidR="00CA775D">
              <w:rPr>
                <w:noProof/>
                <w:webHidden/>
              </w:rPr>
              <w:fldChar w:fldCharType="begin"/>
            </w:r>
            <w:r w:rsidR="00CA775D">
              <w:rPr>
                <w:noProof/>
                <w:webHidden/>
              </w:rPr>
              <w:instrText xml:space="preserve"> PAGEREF _Toc490488562 \h </w:instrText>
            </w:r>
            <w:r w:rsidR="00CA775D">
              <w:rPr>
                <w:noProof/>
                <w:webHidden/>
              </w:rPr>
            </w:r>
            <w:r w:rsidR="00CA775D">
              <w:rPr>
                <w:noProof/>
                <w:webHidden/>
              </w:rPr>
              <w:fldChar w:fldCharType="separate"/>
            </w:r>
            <w:r w:rsidR="00CA775D">
              <w:rPr>
                <w:noProof/>
                <w:webHidden/>
              </w:rPr>
              <w:t>5</w:t>
            </w:r>
            <w:r w:rsidR="00CA775D">
              <w:rPr>
                <w:noProof/>
                <w:webHidden/>
              </w:rPr>
              <w:fldChar w:fldCharType="end"/>
            </w:r>
          </w:hyperlink>
        </w:p>
        <w:p w14:paraId="2B42D733" w14:textId="77777777" w:rsidR="00CA775D" w:rsidRDefault="00FE62C9">
          <w:pPr>
            <w:pStyle w:val="TOC1"/>
            <w:tabs>
              <w:tab w:val="right" w:leader="dot" w:pos="9350"/>
            </w:tabs>
            <w:rPr>
              <w:rFonts w:eastAsiaTheme="minorEastAsia"/>
              <w:noProof/>
            </w:rPr>
          </w:pPr>
          <w:hyperlink w:anchor="_Toc490488563" w:history="1">
            <w:r w:rsidR="00CA775D" w:rsidRPr="004A7B2A">
              <w:rPr>
                <w:rStyle w:val="Hyperlink"/>
                <w:noProof/>
              </w:rPr>
              <w:t>Final Status of the FY17 Audit Plan</w:t>
            </w:r>
            <w:r w:rsidR="00CA775D">
              <w:rPr>
                <w:noProof/>
                <w:webHidden/>
              </w:rPr>
              <w:tab/>
            </w:r>
            <w:r w:rsidR="00CA775D">
              <w:rPr>
                <w:noProof/>
                <w:webHidden/>
              </w:rPr>
              <w:fldChar w:fldCharType="begin"/>
            </w:r>
            <w:r w:rsidR="00CA775D">
              <w:rPr>
                <w:noProof/>
                <w:webHidden/>
              </w:rPr>
              <w:instrText xml:space="preserve"> PAGEREF _Toc490488563 \h </w:instrText>
            </w:r>
            <w:r w:rsidR="00CA775D">
              <w:rPr>
                <w:noProof/>
                <w:webHidden/>
              </w:rPr>
            </w:r>
            <w:r w:rsidR="00CA775D">
              <w:rPr>
                <w:noProof/>
                <w:webHidden/>
              </w:rPr>
              <w:fldChar w:fldCharType="separate"/>
            </w:r>
            <w:r w:rsidR="00CA775D">
              <w:rPr>
                <w:noProof/>
                <w:webHidden/>
              </w:rPr>
              <w:t>7</w:t>
            </w:r>
            <w:r w:rsidR="00CA775D">
              <w:rPr>
                <w:noProof/>
                <w:webHidden/>
              </w:rPr>
              <w:fldChar w:fldCharType="end"/>
            </w:r>
          </w:hyperlink>
        </w:p>
        <w:p w14:paraId="3E468A15" w14:textId="77777777" w:rsidR="00CA775D" w:rsidRDefault="00FE62C9">
          <w:pPr>
            <w:pStyle w:val="TOC1"/>
            <w:tabs>
              <w:tab w:val="right" w:leader="dot" w:pos="9350"/>
            </w:tabs>
            <w:rPr>
              <w:rFonts w:eastAsiaTheme="minorEastAsia"/>
              <w:noProof/>
            </w:rPr>
          </w:pPr>
          <w:hyperlink w:anchor="_Toc490488564" w:history="1">
            <w:r w:rsidR="00CA775D" w:rsidRPr="004A7B2A">
              <w:rPr>
                <w:rStyle w:val="Hyperlink"/>
                <w:noProof/>
              </w:rPr>
              <w:t>2017 Fiscal Year Goals and Accomplishments</w:t>
            </w:r>
            <w:r w:rsidR="00CA775D">
              <w:rPr>
                <w:noProof/>
                <w:webHidden/>
              </w:rPr>
              <w:tab/>
            </w:r>
            <w:r w:rsidR="00CA775D">
              <w:rPr>
                <w:noProof/>
                <w:webHidden/>
              </w:rPr>
              <w:fldChar w:fldCharType="begin"/>
            </w:r>
            <w:r w:rsidR="00CA775D">
              <w:rPr>
                <w:noProof/>
                <w:webHidden/>
              </w:rPr>
              <w:instrText xml:space="preserve"> PAGEREF _Toc490488564 \h </w:instrText>
            </w:r>
            <w:r w:rsidR="00CA775D">
              <w:rPr>
                <w:noProof/>
                <w:webHidden/>
              </w:rPr>
            </w:r>
            <w:r w:rsidR="00CA775D">
              <w:rPr>
                <w:noProof/>
                <w:webHidden/>
              </w:rPr>
              <w:fldChar w:fldCharType="separate"/>
            </w:r>
            <w:r w:rsidR="00CA775D">
              <w:rPr>
                <w:noProof/>
                <w:webHidden/>
              </w:rPr>
              <w:t>9</w:t>
            </w:r>
            <w:r w:rsidR="00CA775D">
              <w:rPr>
                <w:noProof/>
                <w:webHidden/>
              </w:rPr>
              <w:fldChar w:fldCharType="end"/>
            </w:r>
          </w:hyperlink>
        </w:p>
        <w:p w14:paraId="332C1734" w14:textId="77777777" w:rsidR="00CA775D" w:rsidRDefault="00FE62C9">
          <w:pPr>
            <w:pStyle w:val="TOC2"/>
            <w:tabs>
              <w:tab w:val="right" w:leader="dot" w:pos="9350"/>
            </w:tabs>
            <w:rPr>
              <w:rFonts w:eastAsiaTheme="minorEastAsia"/>
              <w:noProof/>
            </w:rPr>
          </w:pPr>
          <w:hyperlink w:anchor="_Toc490488565" w:history="1">
            <w:r w:rsidR="00CA775D" w:rsidRPr="004A7B2A">
              <w:rPr>
                <w:rStyle w:val="Hyperlink"/>
                <w:noProof/>
              </w:rPr>
              <w:t>Audit Engagement Goals</w:t>
            </w:r>
            <w:r w:rsidR="00CA775D">
              <w:rPr>
                <w:noProof/>
                <w:webHidden/>
              </w:rPr>
              <w:tab/>
            </w:r>
            <w:r w:rsidR="00CA775D">
              <w:rPr>
                <w:noProof/>
                <w:webHidden/>
              </w:rPr>
              <w:fldChar w:fldCharType="begin"/>
            </w:r>
            <w:r w:rsidR="00CA775D">
              <w:rPr>
                <w:noProof/>
                <w:webHidden/>
              </w:rPr>
              <w:instrText xml:space="preserve"> PAGEREF _Toc490488565 \h </w:instrText>
            </w:r>
            <w:r w:rsidR="00CA775D">
              <w:rPr>
                <w:noProof/>
                <w:webHidden/>
              </w:rPr>
            </w:r>
            <w:r w:rsidR="00CA775D">
              <w:rPr>
                <w:noProof/>
                <w:webHidden/>
              </w:rPr>
              <w:fldChar w:fldCharType="separate"/>
            </w:r>
            <w:r w:rsidR="00CA775D">
              <w:rPr>
                <w:noProof/>
                <w:webHidden/>
              </w:rPr>
              <w:t>9</w:t>
            </w:r>
            <w:r w:rsidR="00CA775D">
              <w:rPr>
                <w:noProof/>
                <w:webHidden/>
              </w:rPr>
              <w:fldChar w:fldCharType="end"/>
            </w:r>
          </w:hyperlink>
        </w:p>
        <w:p w14:paraId="3D82FBFC" w14:textId="77777777" w:rsidR="00CA775D" w:rsidRDefault="00FE62C9">
          <w:pPr>
            <w:pStyle w:val="TOC2"/>
            <w:tabs>
              <w:tab w:val="right" w:leader="dot" w:pos="9350"/>
            </w:tabs>
            <w:rPr>
              <w:rFonts w:eastAsiaTheme="minorEastAsia"/>
              <w:noProof/>
            </w:rPr>
          </w:pPr>
          <w:hyperlink w:anchor="_Toc490488566" w:history="1">
            <w:r w:rsidR="00CA775D" w:rsidRPr="004A7B2A">
              <w:rPr>
                <w:rStyle w:val="Hyperlink"/>
                <w:noProof/>
              </w:rPr>
              <w:t>Staffing Goals</w:t>
            </w:r>
            <w:r w:rsidR="00CA775D">
              <w:rPr>
                <w:noProof/>
                <w:webHidden/>
              </w:rPr>
              <w:tab/>
            </w:r>
            <w:r w:rsidR="00CA775D">
              <w:rPr>
                <w:noProof/>
                <w:webHidden/>
              </w:rPr>
              <w:fldChar w:fldCharType="begin"/>
            </w:r>
            <w:r w:rsidR="00CA775D">
              <w:rPr>
                <w:noProof/>
                <w:webHidden/>
              </w:rPr>
              <w:instrText xml:space="preserve"> PAGEREF _Toc490488566 \h </w:instrText>
            </w:r>
            <w:r w:rsidR="00CA775D">
              <w:rPr>
                <w:noProof/>
                <w:webHidden/>
              </w:rPr>
            </w:r>
            <w:r w:rsidR="00CA775D">
              <w:rPr>
                <w:noProof/>
                <w:webHidden/>
              </w:rPr>
              <w:fldChar w:fldCharType="separate"/>
            </w:r>
            <w:r w:rsidR="00CA775D">
              <w:rPr>
                <w:noProof/>
                <w:webHidden/>
              </w:rPr>
              <w:t>10</w:t>
            </w:r>
            <w:r w:rsidR="00CA775D">
              <w:rPr>
                <w:noProof/>
                <w:webHidden/>
              </w:rPr>
              <w:fldChar w:fldCharType="end"/>
            </w:r>
          </w:hyperlink>
        </w:p>
        <w:p w14:paraId="6509C112" w14:textId="77777777" w:rsidR="00CA775D" w:rsidRDefault="00FE62C9">
          <w:pPr>
            <w:pStyle w:val="TOC2"/>
            <w:tabs>
              <w:tab w:val="right" w:leader="dot" w:pos="9350"/>
            </w:tabs>
            <w:rPr>
              <w:rFonts w:eastAsiaTheme="minorEastAsia"/>
              <w:noProof/>
            </w:rPr>
          </w:pPr>
          <w:hyperlink w:anchor="_Toc490488567" w:history="1">
            <w:r w:rsidR="00CA775D" w:rsidRPr="004A7B2A">
              <w:rPr>
                <w:rStyle w:val="Hyperlink"/>
                <w:noProof/>
              </w:rPr>
              <w:t>Quality Assurance (QA) Goals</w:t>
            </w:r>
            <w:r w:rsidR="00CA775D">
              <w:rPr>
                <w:noProof/>
                <w:webHidden/>
              </w:rPr>
              <w:tab/>
            </w:r>
            <w:r w:rsidR="00CA775D">
              <w:rPr>
                <w:noProof/>
                <w:webHidden/>
              </w:rPr>
              <w:fldChar w:fldCharType="begin"/>
            </w:r>
            <w:r w:rsidR="00CA775D">
              <w:rPr>
                <w:noProof/>
                <w:webHidden/>
              </w:rPr>
              <w:instrText xml:space="preserve"> PAGEREF _Toc490488567 \h </w:instrText>
            </w:r>
            <w:r w:rsidR="00CA775D">
              <w:rPr>
                <w:noProof/>
                <w:webHidden/>
              </w:rPr>
            </w:r>
            <w:r w:rsidR="00CA775D">
              <w:rPr>
                <w:noProof/>
                <w:webHidden/>
              </w:rPr>
              <w:fldChar w:fldCharType="separate"/>
            </w:r>
            <w:r w:rsidR="00CA775D">
              <w:rPr>
                <w:noProof/>
                <w:webHidden/>
              </w:rPr>
              <w:t>11</w:t>
            </w:r>
            <w:r w:rsidR="00CA775D">
              <w:rPr>
                <w:noProof/>
                <w:webHidden/>
              </w:rPr>
              <w:fldChar w:fldCharType="end"/>
            </w:r>
          </w:hyperlink>
        </w:p>
        <w:p w14:paraId="4240B72A" w14:textId="77777777" w:rsidR="00CA775D" w:rsidRDefault="00FE62C9">
          <w:pPr>
            <w:pStyle w:val="TOC2"/>
            <w:tabs>
              <w:tab w:val="right" w:leader="dot" w:pos="9350"/>
            </w:tabs>
            <w:rPr>
              <w:rFonts w:eastAsiaTheme="minorEastAsia"/>
              <w:noProof/>
            </w:rPr>
          </w:pPr>
          <w:hyperlink w:anchor="_Toc490488568" w:history="1">
            <w:r w:rsidR="00CA775D" w:rsidRPr="004A7B2A">
              <w:rPr>
                <w:rStyle w:val="Hyperlink"/>
                <w:noProof/>
              </w:rPr>
              <w:t>Outreach Goals</w:t>
            </w:r>
            <w:r w:rsidR="00CA775D">
              <w:rPr>
                <w:noProof/>
                <w:webHidden/>
              </w:rPr>
              <w:tab/>
            </w:r>
            <w:r w:rsidR="00CA775D">
              <w:rPr>
                <w:noProof/>
                <w:webHidden/>
              </w:rPr>
              <w:fldChar w:fldCharType="begin"/>
            </w:r>
            <w:r w:rsidR="00CA775D">
              <w:rPr>
                <w:noProof/>
                <w:webHidden/>
              </w:rPr>
              <w:instrText xml:space="preserve"> PAGEREF _Toc490488568 \h </w:instrText>
            </w:r>
            <w:r w:rsidR="00CA775D">
              <w:rPr>
                <w:noProof/>
                <w:webHidden/>
              </w:rPr>
            </w:r>
            <w:r w:rsidR="00CA775D">
              <w:rPr>
                <w:noProof/>
                <w:webHidden/>
              </w:rPr>
              <w:fldChar w:fldCharType="separate"/>
            </w:r>
            <w:r w:rsidR="00CA775D">
              <w:rPr>
                <w:noProof/>
                <w:webHidden/>
              </w:rPr>
              <w:t>11</w:t>
            </w:r>
            <w:r w:rsidR="00CA775D">
              <w:rPr>
                <w:noProof/>
                <w:webHidden/>
              </w:rPr>
              <w:fldChar w:fldCharType="end"/>
            </w:r>
          </w:hyperlink>
        </w:p>
        <w:p w14:paraId="47BFA81D" w14:textId="77777777" w:rsidR="00CA775D" w:rsidRDefault="00FE62C9">
          <w:pPr>
            <w:pStyle w:val="TOC1"/>
            <w:tabs>
              <w:tab w:val="right" w:leader="dot" w:pos="9350"/>
            </w:tabs>
            <w:rPr>
              <w:rFonts w:eastAsiaTheme="minorEastAsia"/>
              <w:noProof/>
            </w:rPr>
          </w:pPr>
          <w:hyperlink w:anchor="_Toc490488569" w:history="1">
            <w:r w:rsidR="00CA775D" w:rsidRPr="004A7B2A">
              <w:rPr>
                <w:rStyle w:val="Hyperlink"/>
                <w:noProof/>
              </w:rPr>
              <w:t>Status of FY2018 Annual Audit Plan</w:t>
            </w:r>
            <w:r w:rsidR="00CA775D">
              <w:rPr>
                <w:noProof/>
                <w:webHidden/>
              </w:rPr>
              <w:tab/>
            </w:r>
            <w:r w:rsidR="00CA775D">
              <w:rPr>
                <w:noProof/>
                <w:webHidden/>
              </w:rPr>
              <w:fldChar w:fldCharType="begin"/>
            </w:r>
            <w:r w:rsidR="00CA775D">
              <w:rPr>
                <w:noProof/>
                <w:webHidden/>
              </w:rPr>
              <w:instrText xml:space="preserve"> PAGEREF _Toc490488569 \h </w:instrText>
            </w:r>
            <w:r w:rsidR="00CA775D">
              <w:rPr>
                <w:noProof/>
                <w:webHidden/>
              </w:rPr>
            </w:r>
            <w:r w:rsidR="00CA775D">
              <w:rPr>
                <w:noProof/>
                <w:webHidden/>
              </w:rPr>
              <w:fldChar w:fldCharType="separate"/>
            </w:r>
            <w:r w:rsidR="00CA775D">
              <w:rPr>
                <w:noProof/>
                <w:webHidden/>
              </w:rPr>
              <w:t>12</w:t>
            </w:r>
            <w:r w:rsidR="00CA775D">
              <w:rPr>
                <w:noProof/>
                <w:webHidden/>
              </w:rPr>
              <w:fldChar w:fldCharType="end"/>
            </w:r>
          </w:hyperlink>
        </w:p>
        <w:p w14:paraId="1EA142EB" w14:textId="77777777" w:rsidR="00CA775D" w:rsidRDefault="00FE62C9">
          <w:pPr>
            <w:pStyle w:val="TOC2"/>
            <w:tabs>
              <w:tab w:val="right" w:leader="dot" w:pos="9350"/>
            </w:tabs>
            <w:rPr>
              <w:rFonts w:eastAsiaTheme="minorEastAsia"/>
              <w:noProof/>
            </w:rPr>
          </w:pPr>
          <w:hyperlink w:anchor="_Toc490488570" w:history="1">
            <w:r w:rsidR="00CA775D" w:rsidRPr="004A7B2A">
              <w:rPr>
                <w:rStyle w:val="Hyperlink"/>
                <w:noProof/>
              </w:rPr>
              <w:t>External Financial Audit Support</w:t>
            </w:r>
            <w:r w:rsidR="00CA775D">
              <w:rPr>
                <w:noProof/>
                <w:webHidden/>
              </w:rPr>
              <w:tab/>
            </w:r>
            <w:r w:rsidR="00CA775D">
              <w:rPr>
                <w:noProof/>
                <w:webHidden/>
              </w:rPr>
              <w:fldChar w:fldCharType="begin"/>
            </w:r>
            <w:r w:rsidR="00CA775D">
              <w:rPr>
                <w:noProof/>
                <w:webHidden/>
              </w:rPr>
              <w:instrText xml:space="preserve"> PAGEREF _Toc490488570 \h </w:instrText>
            </w:r>
            <w:r w:rsidR="00CA775D">
              <w:rPr>
                <w:noProof/>
                <w:webHidden/>
              </w:rPr>
            </w:r>
            <w:r w:rsidR="00CA775D">
              <w:rPr>
                <w:noProof/>
                <w:webHidden/>
              </w:rPr>
              <w:fldChar w:fldCharType="separate"/>
            </w:r>
            <w:r w:rsidR="00CA775D">
              <w:rPr>
                <w:noProof/>
                <w:webHidden/>
              </w:rPr>
              <w:t>12</w:t>
            </w:r>
            <w:r w:rsidR="00CA775D">
              <w:rPr>
                <w:noProof/>
                <w:webHidden/>
              </w:rPr>
              <w:fldChar w:fldCharType="end"/>
            </w:r>
          </w:hyperlink>
        </w:p>
        <w:p w14:paraId="2B90F7CE" w14:textId="77777777" w:rsidR="00CA775D" w:rsidRDefault="00FE62C9">
          <w:pPr>
            <w:pStyle w:val="TOC2"/>
            <w:tabs>
              <w:tab w:val="right" w:leader="dot" w:pos="9350"/>
            </w:tabs>
            <w:rPr>
              <w:rFonts w:eastAsiaTheme="minorEastAsia"/>
              <w:noProof/>
            </w:rPr>
          </w:pPr>
          <w:hyperlink w:anchor="_Toc490488571" w:history="1">
            <w:r w:rsidR="00CA775D" w:rsidRPr="004A7B2A">
              <w:rPr>
                <w:rStyle w:val="Hyperlink"/>
                <w:noProof/>
              </w:rPr>
              <w:t>Audits and Projects</w:t>
            </w:r>
            <w:r w:rsidR="00CA775D">
              <w:rPr>
                <w:noProof/>
                <w:webHidden/>
              </w:rPr>
              <w:tab/>
            </w:r>
            <w:r w:rsidR="00CA775D">
              <w:rPr>
                <w:noProof/>
                <w:webHidden/>
              </w:rPr>
              <w:fldChar w:fldCharType="begin"/>
            </w:r>
            <w:r w:rsidR="00CA775D">
              <w:rPr>
                <w:noProof/>
                <w:webHidden/>
              </w:rPr>
              <w:instrText xml:space="preserve"> PAGEREF _Toc490488571 \h </w:instrText>
            </w:r>
            <w:r w:rsidR="00CA775D">
              <w:rPr>
                <w:noProof/>
                <w:webHidden/>
              </w:rPr>
            </w:r>
            <w:r w:rsidR="00CA775D">
              <w:rPr>
                <w:noProof/>
                <w:webHidden/>
              </w:rPr>
              <w:fldChar w:fldCharType="separate"/>
            </w:r>
            <w:r w:rsidR="00CA775D">
              <w:rPr>
                <w:noProof/>
                <w:webHidden/>
              </w:rPr>
              <w:t>12</w:t>
            </w:r>
            <w:r w:rsidR="00CA775D">
              <w:rPr>
                <w:noProof/>
                <w:webHidden/>
              </w:rPr>
              <w:fldChar w:fldCharType="end"/>
            </w:r>
          </w:hyperlink>
        </w:p>
        <w:p w14:paraId="737F69C8" w14:textId="77777777" w:rsidR="00CA775D" w:rsidRDefault="00FE62C9">
          <w:pPr>
            <w:pStyle w:val="TOC3"/>
            <w:tabs>
              <w:tab w:val="right" w:leader="dot" w:pos="9350"/>
            </w:tabs>
            <w:rPr>
              <w:rFonts w:eastAsiaTheme="minorEastAsia"/>
              <w:noProof/>
            </w:rPr>
          </w:pPr>
          <w:hyperlink w:anchor="_Toc490488572" w:history="1">
            <w:r w:rsidR="00CA775D" w:rsidRPr="004A7B2A">
              <w:rPr>
                <w:rStyle w:val="Hyperlink"/>
                <w:noProof/>
              </w:rPr>
              <w:t>Compliance Reviews</w:t>
            </w:r>
            <w:r w:rsidR="00CA775D">
              <w:rPr>
                <w:noProof/>
                <w:webHidden/>
              </w:rPr>
              <w:tab/>
            </w:r>
            <w:r w:rsidR="00CA775D">
              <w:rPr>
                <w:noProof/>
                <w:webHidden/>
              </w:rPr>
              <w:fldChar w:fldCharType="begin"/>
            </w:r>
            <w:r w:rsidR="00CA775D">
              <w:rPr>
                <w:noProof/>
                <w:webHidden/>
              </w:rPr>
              <w:instrText xml:space="preserve"> PAGEREF _Toc490488572 \h </w:instrText>
            </w:r>
            <w:r w:rsidR="00CA775D">
              <w:rPr>
                <w:noProof/>
                <w:webHidden/>
              </w:rPr>
            </w:r>
            <w:r w:rsidR="00CA775D">
              <w:rPr>
                <w:noProof/>
                <w:webHidden/>
              </w:rPr>
              <w:fldChar w:fldCharType="separate"/>
            </w:r>
            <w:r w:rsidR="00CA775D">
              <w:rPr>
                <w:noProof/>
                <w:webHidden/>
              </w:rPr>
              <w:t>12</w:t>
            </w:r>
            <w:r w:rsidR="00CA775D">
              <w:rPr>
                <w:noProof/>
                <w:webHidden/>
              </w:rPr>
              <w:fldChar w:fldCharType="end"/>
            </w:r>
          </w:hyperlink>
        </w:p>
        <w:p w14:paraId="7A0A1696" w14:textId="77777777" w:rsidR="00CA775D" w:rsidRDefault="00FE62C9">
          <w:pPr>
            <w:pStyle w:val="TOC3"/>
            <w:tabs>
              <w:tab w:val="right" w:leader="dot" w:pos="9350"/>
            </w:tabs>
            <w:rPr>
              <w:rFonts w:eastAsiaTheme="minorEastAsia"/>
              <w:noProof/>
            </w:rPr>
          </w:pPr>
          <w:hyperlink w:anchor="_Toc490488573" w:history="1">
            <w:r w:rsidR="00CA775D" w:rsidRPr="004A7B2A">
              <w:rPr>
                <w:rStyle w:val="Hyperlink"/>
                <w:noProof/>
              </w:rPr>
              <w:t>Function and System Reviews**</w:t>
            </w:r>
            <w:r w:rsidR="00CA775D">
              <w:rPr>
                <w:noProof/>
                <w:webHidden/>
              </w:rPr>
              <w:tab/>
            </w:r>
            <w:r w:rsidR="00CA775D">
              <w:rPr>
                <w:noProof/>
                <w:webHidden/>
              </w:rPr>
              <w:fldChar w:fldCharType="begin"/>
            </w:r>
            <w:r w:rsidR="00CA775D">
              <w:rPr>
                <w:noProof/>
                <w:webHidden/>
              </w:rPr>
              <w:instrText xml:space="preserve"> PAGEREF _Toc490488573 \h </w:instrText>
            </w:r>
            <w:r w:rsidR="00CA775D">
              <w:rPr>
                <w:noProof/>
                <w:webHidden/>
              </w:rPr>
            </w:r>
            <w:r w:rsidR="00CA775D">
              <w:rPr>
                <w:noProof/>
                <w:webHidden/>
              </w:rPr>
              <w:fldChar w:fldCharType="separate"/>
            </w:r>
            <w:r w:rsidR="00CA775D">
              <w:rPr>
                <w:noProof/>
                <w:webHidden/>
              </w:rPr>
              <w:t>12</w:t>
            </w:r>
            <w:r w:rsidR="00CA775D">
              <w:rPr>
                <w:noProof/>
                <w:webHidden/>
              </w:rPr>
              <w:fldChar w:fldCharType="end"/>
            </w:r>
          </w:hyperlink>
        </w:p>
        <w:p w14:paraId="70117F49" w14:textId="77777777" w:rsidR="00CA775D" w:rsidRDefault="00FE62C9">
          <w:pPr>
            <w:pStyle w:val="TOC3"/>
            <w:tabs>
              <w:tab w:val="right" w:leader="dot" w:pos="9350"/>
            </w:tabs>
            <w:rPr>
              <w:rFonts w:eastAsiaTheme="minorEastAsia"/>
              <w:noProof/>
            </w:rPr>
          </w:pPr>
          <w:hyperlink w:anchor="_Toc490488574" w:history="1">
            <w:r w:rsidR="00CA775D" w:rsidRPr="004A7B2A">
              <w:rPr>
                <w:rStyle w:val="Hyperlink"/>
                <w:noProof/>
              </w:rPr>
              <w:t>Information Systems Reviews**</w:t>
            </w:r>
            <w:r w:rsidR="00CA775D">
              <w:rPr>
                <w:noProof/>
                <w:webHidden/>
              </w:rPr>
              <w:tab/>
            </w:r>
            <w:r w:rsidR="00CA775D">
              <w:rPr>
                <w:noProof/>
                <w:webHidden/>
              </w:rPr>
              <w:fldChar w:fldCharType="begin"/>
            </w:r>
            <w:r w:rsidR="00CA775D">
              <w:rPr>
                <w:noProof/>
                <w:webHidden/>
              </w:rPr>
              <w:instrText xml:space="preserve"> PAGEREF _Toc490488574 \h </w:instrText>
            </w:r>
            <w:r w:rsidR="00CA775D">
              <w:rPr>
                <w:noProof/>
                <w:webHidden/>
              </w:rPr>
            </w:r>
            <w:r w:rsidR="00CA775D">
              <w:rPr>
                <w:noProof/>
                <w:webHidden/>
              </w:rPr>
              <w:fldChar w:fldCharType="separate"/>
            </w:r>
            <w:r w:rsidR="00CA775D">
              <w:rPr>
                <w:noProof/>
                <w:webHidden/>
              </w:rPr>
              <w:t>12</w:t>
            </w:r>
            <w:r w:rsidR="00CA775D">
              <w:rPr>
                <w:noProof/>
                <w:webHidden/>
              </w:rPr>
              <w:fldChar w:fldCharType="end"/>
            </w:r>
          </w:hyperlink>
        </w:p>
        <w:p w14:paraId="6A4D0B07" w14:textId="77777777" w:rsidR="00CA775D" w:rsidRDefault="00FE62C9">
          <w:pPr>
            <w:pStyle w:val="TOC3"/>
            <w:tabs>
              <w:tab w:val="right" w:leader="dot" w:pos="9350"/>
            </w:tabs>
            <w:rPr>
              <w:rFonts w:eastAsiaTheme="minorEastAsia"/>
              <w:noProof/>
            </w:rPr>
          </w:pPr>
          <w:hyperlink w:anchor="_Toc490488575" w:history="1">
            <w:r w:rsidR="00CA775D" w:rsidRPr="004A7B2A">
              <w:rPr>
                <w:rStyle w:val="Hyperlink"/>
                <w:noProof/>
              </w:rPr>
              <w:t>Ongoing Audits</w:t>
            </w:r>
            <w:r w:rsidR="00CA775D">
              <w:rPr>
                <w:noProof/>
                <w:webHidden/>
              </w:rPr>
              <w:tab/>
            </w:r>
            <w:r w:rsidR="00CA775D">
              <w:rPr>
                <w:noProof/>
                <w:webHidden/>
              </w:rPr>
              <w:fldChar w:fldCharType="begin"/>
            </w:r>
            <w:r w:rsidR="00CA775D">
              <w:rPr>
                <w:noProof/>
                <w:webHidden/>
              </w:rPr>
              <w:instrText xml:space="preserve"> PAGEREF _Toc490488575 \h </w:instrText>
            </w:r>
            <w:r w:rsidR="00CA775D">
              <w:rPr>
                <w:noProof/>
                <w:webHidden/>
              </w:rPr>
            </w:r>
            <w:r w:rsidR="00CA775D">
              <w:rPr>
                <w:noProof/>
                <w:webHidden/>
              </w:rPr>
              <w:fldChar w:fldCharType="separate"/>
            </w:r>
            <w:r w:rsidR="00CA775D">
              <w:rPr>
                <w:noProof/>
                <w:webHidden/>
              </w:rPr>
              <w:t>12</w:t>
            </w:r>
            <w:r w:rsidR="00CA775D">
              <w:rPr>
                <w:noProof/>
                <w:webHidden/>
              </w:rPr>
              <w:fldChar w:fldCharType="end"/>
            </w:r>
          </w:hyperlink>
        </w:p>
        <w:p w14:paraId="28AD00F5" w14:textId="77777777" w:rsidR="00CA775D" w:rsidRDefault="00FE62C9">
          <w:pPr>
            <w:pStyle w:val="TOC1"/>
            <w:tabs>
              <w:tab w:val="right" w:leader="dot" w:pos="9350"/>
            </w:tabs>
            <w:rPr>
              <w:rFonts w:eastAsiaTheme="minorEastAsia"/>
              <w:noProof/>
            </w:rPr>
          </w:pPr>
          <w:hyperlink w:anchor="_Toc490488576" w:history="1">
            <w:r w:rsidR="00CA775D" w:rsidRPr="004A7B2A">
              <w:rPr>
                <w:rStyle w:val="Hyperlink"/>
                <w:noProof/>
              </w:rPr>
              <w:t>External Audit Status Report</w:t>
            </w:r>
            <w:r w:rsidR="00CA775D">
              <w:rPr>
                <w:noProof/>
                <w:webHidden/>
              </w:rPr>
              <w:tab/>
            </w:r>
            <w:r w:rsidR="00CA775D">
              <w:rPr>
                <w:noProof/>
                <w:webHidden/>
              </w:rPr>
              <w:fldChar w:fldCharType="begin"/>
            </w:r>
            <w:r w:rsidR="00CA775D">
              <w:rPr>
                <w:noProof/>
                <w:webHidden/>
              </w:rPr>
              <w:instrText xml:space="preserve"> PAGEREF _Toc490488576 \h </w:instrText>
            </w:r>
            <w:r w:rsidR="00CA775D">
              <w:rPr>
                <w:noProof/>
                <w:webHidden/>
              </w:rPr>
            </w:r>
            <w:r w:rsidR="00CA775D">
              <w:rPr>
                <w:noProof/>
                <w:webHidden/>
              </w:rPr>
              <w:fldChar w:fldCharType="separate"/>
            </w:r>
            <w:r w:rsidR="00CA775D">
              <w:rPr>
                <w:noProof/>
                <w:webHidden/>
              </w:rPr>
              <w:t>13</w:t>
            </w:r>
            <w:r w:rsidR="00CA775D">
              <w:rPr>
                <w:noProof/>
                <w:webHidden/>
              </w:rPr>
              <w:fldChar w:fldCharType="end"/>
            </w:r>
          </w:hyperlink>
        </w:p>
        <w:p w14:paraId="100A82AF" w14:textId="77777777" w:rsidR="00CA775D" w:rsidRDefault="00FE62C9">
          <w:pPr>
            <w:pStyle w:val="TOC2"/>
            <w:tabs>
              <w:tab w:val="right" w:leader="dot" w:pos="9350"/>
            </w:tabs>
            <w:rPr>
              <w:rFonts w:eastAsiaTheme="minorEastAsia"/>
              <w:noProof/>
            </w:rPr>
          </w:pPr>
          <w:hyperlink w:anchor="_Toc490488577" w:history="1">
            <w:r w:rsidR="00CA775D" w:rsidRPr="004A7B2A">
              <w:rPr>
                <w:rStyle w:val="Hyperlink"/>
                <w:noProof/>
              </w:rPr>
              <w:t>External Audit Reports &amp; Activities</w:t>
            </w:r>
            <w:r w:rsidR="00CA775D">
              <w:rPr>
                <w:noProof/>
                <w:webHidden/>
              </w:rPr>
              <w:tab/>
            </w:r>
            <w:r w:rsidR="00CA775D">
              <w:rPr>
                <w:noProof/>
                <w:webHidden/>
              </w:rPr>
              <w:fldChar w:fldCharType="begin"/>
            </w:r>
            <w:r w:rsidR="00CA775D">
              <w:rPr>
                <w:noProof/>
                <w:webHidden/>
              </w:rPr>
              <w:instrText xml:space="preserve"> PAGEREF _Toc490488577 \h </w:instrText>
            </w:r>
            <w:r w:rsidR="00CA775D">
              <w:rPr>
                <w:noProof/>
                <w:webHidden/>
              </w:rPr>
            </w:r>
            <w:r w:rsidR="00CA775D">
              <w:rPr>
                <w:noProof/>
                <w:webHidden/>
              </w:rPr>
              <w:fldChar w:fldCharType="separate"/>
            </w:r>
            <w:r w:rsidR="00CA775D">
              <w:rPr>
                <w:noProof/>
                <w:webHidden/>
              </w:rPr>
              <w:t>13</w:t>
            </w:r>
            <w:r w:rsidR="00CA775D">
              <w:rPr>
                <w:noProof/>
                <w:webHidden/>
              </w:rPr>
              <w:fldChar w:fldCharType="end"/>
            </w:r>
          </w:hyperlink>
        </w:p>
        <w:p w14:paraId="163364D1" w14:textId="77777777" w:rsidR="00EA455C" w:rsidRDefault="00EA455C">
          <w:r>
            <w:rPr>
              <w:b/>
              <w:bCs/>
              <w:noProof/>
            </w:rPr>
            <w:fldChar w:fldCharType="end"/>
          </w:r>
        </w:p>
      </w:sdtContent>
    </w:sdt>
    <w:p w14:paraId="6CB38FC4" w14:textId="69104C07" w:rsidR="00F6780A" w:rsidRPr="002C7F06" w:rsidRDefault="00F6780A" w:rsidP="00F6780A">
      <w:pPr>
        <w:jc w:val="center"/>
        <w:rPr>
          <w:b/>
          <w:i/>
          <w:color w:val="0070C0"/>
          <w:sz w:val="24"/>
          <w:szCs w:val="24"/>
        </w:rPr>
      </w:pPr>
      <w:r w:rsidRPr="002C7F06">
        <w:rPr>
          <w:b/>
          <w:i/>
          <w:color w:val="0070C0"/>
          <w:sz w:val="24"/>
          <w:szCs w:val="24"/>
        </w:rPr>
        <w:t>Strategic Partners for Shaping Alaska’s Future</w:t>
      </w:r>
    </w:p>
    <w:p w14:paraId="0124B224" w14:textId="77777777" w:rsidR="00C84160" w:rsidRDefault="005510DE">
      <w:pPr>
        <w:rPr>
          <w:b/>
          <w:color w:val="0070C0"/>
          <w:sz w:val="24"/>
          <w:szCs w:val="24"/>
          <w:u w:val="single"/>
        </w:rPr>
        <w:sectPr w:rsidR="00C84160" w:rsidSect="00C84160">
          <w:footerReference w:type="default" r:id="rId9"/>
          <w:footerReference w:type="first" r:id="rId10"/>
          <w:type w:val="continuous"/>
          <w:pgSz w:w="12240" w:h="15840"/>
          <w:pgMar w:top="1440" w:right="1440" w:bottom="1440" w:left="1440" w:header="720" w:footer="720" w:gutter="0"/>
          <w:pgNumType w:start="1"/>
          <w:cols w:space="720"/>
          <w:docGrid w:linePitch="360"/>
        </w:sectPr>
      </w:pPr>
      <w:r>
        <w:rPr>
          <w:b/>
          <w:color w:val="0070C0"/>
          <w:sz w:val="24"/>
          <w:szCs w:val="24"/>
          <w:u w:val="single"/>
        </w:rPr>
        <w:br w:type="page"/>
      </w:r>
    </w:p>
    <w:p w14:paraId="77D2C759" w14:textId="77777777" w:rsidR="00660458" w:rsidRDefault="00630E44" w:rsidP="00905963">
      <w:pPr>
        <w:pStyle w:val="Heading1"/>
        <w:spacing w:after="240"/>
      </w:pPr>
      <w:bookmarkStart w:id="1" w:name="_Toc490488558"/>
      <w:r w:rsidRPr="00BB4B2A">
        <w:lastRenderedPageBreak/>
        <w:t>Executive Summary</w:t>
      </w:r>
      <w:bookmarkEnd w:id="1"/>
    </w:p>
    <w:p w14:paraId="6C368AFB" w14:textId="77777777" w:rsidR="008C7B2F" w:rsidRDefault="00630E44" w:rsidP="008B678F">
      <w:pPr>
        <w:spacing w:line="240" w:lineRule="auto"/>
      </w:pPr>
      <w:r>
        <w:t>The Board of Regents of the University of Alaska has oversight responsibility</w:t>
      </w:r>
      <w:r w:rsidR="008C7B2F">
        <w:t xml:space="preserve"> of internal and external audit functions, and for ascertaining the existence and adequacy of accounting and internal control systems and safeguards over University assets.  </w:t>
      </w:r>
      <w:r w:rsidR="008C7B2F" w:rsidRPr="00FE1A03">
        <w:t xml:space="preserve">The </w:t>
      </w:r>
      <w:r w:rsidR="008C7B2F">
        <w:t>mission of the Office of Audit and Consulting Services</w:t>
      </w:r>
      <w:r w:rsidR="008C7B2F" w:rsidRPr="00FE1A03">
        <w:t xml:space="preserve"> </w:t>
      </w:r>
      <w:r w:rsidR="008C7B2F">
        <w:t xml:space="preserve">(A&amp;CS) </w:t>
      </w:r>
      <w:r w:rsidR="008C7B2F" w:rsidRPr="00FE1A03">
        <w:t xml:space="preserve">is to </w:t>
      </w:r>
      <w:r w:rsidR="00BF1191">
        <w:t>“A</w:t>
      </w:r>
      <w:r w:rsidR="008C7B2F" w:rsidRPr="00FE1A03">
        <w:t>ssist the board and management in the effective discharge of their fiduciary and administrative responsibilities by providing analysis, appraisals, counsel, information and recommendations concerning activities reviewed and by promoting effective controls for the recording and reporting of operational activities and for the custody and safeguarding of assets.</w:t>
      </w:r>
      <w:r w:rsidR="00BF1191">
        <w:t xml:space="preserve">”  </w:t>
      </w:r>
    </w:p>
    <w:p w14:paraId="349A44EA" w14:textId="7FADC2D8" w:rsidR="009C6C34" w:rsidRDefault="00630E44" w:rsidP="008B678F">
      <w:pPr>
        <w:spacing w:line="240" w:lineRule="auto"/>
      </w:pPr>
      <w:r>
        <w:t>This report contains an overview of the A&amp;CS organization, a summarization of the internal reports i</w:t>
      </w:r>
      <w:r w:rsidR="00B72648">
        <w:t>ssued over the past fiscal year and</w:t>
      </w:r>
      <w:r>
        <w:t xml:space="preserve"> progress made toward completing </w:t>
      </w:r>
      <w:r w:rsidRPr="00E37AC5">
        <w:t>the FY</w:t>
      </w:r>
      <w:r w:rsidR="00E37AC5" w:rsidRPr="00E37AC5">
        <w:t>20</w:t>
      </w:r>
      <w:r w:rsidRPr="00E37AC5">
        <w:t>1</w:t>
      </w:r>
      <w:r w:rsidR="00B01723">
        <w:t>7</w:t>
      </w:r>
      <w:r w:rsidR="0048104A">
        <w:t xml:space="preserve"> and FY201</w:t>
      </w:r>
      <w:r w:rsidR="00B01723">
        <w:t>8</w:t>
      </w:r>
      <w:r w:rsidRPr="00E37AC5">
        <w:t xml:space="preserve"> audit plan</w:t>
      </w:r>
      <w:r w:rsidR="0048104A">
        <w:t>s</w:t>
      </w:r>
      <w:r w:rsidR="00B72648" w:rsidRPr="00E37AC5">
        <w:t>.</w:t>
      </w:r>
      <w:r w:rsidRPr="00E37AC5">
        <w:t xml:space="preserve"> </w:t>
      </w:r>
      <w:r w:rsidR="00B72648" w:rsidRPr="00E37AC5">
        <w:t xml:space="preserve"> </w:t>
      </w:r>
      <w:r w:rsidR="009C6C34">
        <w:t>The information provided in this report documents how A&amp;</w:t>
      </w:r>
      <w:r w:rsidR="009C6C34" w:rsidRPr="00192A21">
        <w:t xml:space="preserve">CS </w:t>
      </w:r>
      <w:r w:rsidR="009C6C34">
        <w:t>assists management in mitigating risk</w:t>
      </w:r>
      <w:r w:rsidR="009C6C34" w:rsidRPr="00192A21">
        <w:t xml:space="preserve"> and identify</w:t>
      </w:r>
      <w:r w:rsidR="009C6C34">
        <w:t>ing</w:t>
      </w:r>
      <w:r w:rsidR="009C6C34" w:rsidRPr="00192A21">
        <w:t xml:space="preserve"> improvements to UA operations.  Management responded to the audit report recommendations </w:t>
      </w:r>
      <w:r w:rsidR="009C6C34">
        <w:t>from</w:t>
      </w:r>
      <w:r w:rsidR="009C6C34" w:rsidRPr="00192A21">
        <w:t xml:space="preserve"> the past year</w:t>
      </w:r>
      <w:r w:rsidR="009C6C34">
        <w:t xml:space="preserve"> with adequate action plans or acceptance of the risk by not taking action</w:t>
      </w:r>
      <w:r w:rsidR="009C6C34" w:rsidRPr="00192A21">
        <w:t>.</w:t>
      </w:r>
      <w:r w:rsidR="009C6C34">
        <w:t xml:space="preserve">   Action plans and acceptance of risk were communicated via final audit reports.</w:t>
      </w:r>
    </w:p>
    <w:p w14:paraId="037EA8E9" w14:textId="1D52909D" w:rsidR="00630E44" w:rsidRDefault="00630E44" w:rsidP="008B678F">
      <w:pPr>
        <w:spacing w:line="240" w:lineRule="auto"/>
      </w:pPr>
      <w:r w:rsidRPr="00E37AC5">
        <w:t>This report is being provided in accordance with the audit charter,</w:t>
      </w:r>
      <w:r>
        <w:t xml:space="preserve"> which states:</w:t>
      </w:r>
    </w:p>
    <w:p w14:paraId="2D22B183" w14:textId="77777777" w:rsidR="00863DD1" w:rsidRDefault="00863DD1" w:rsidP="008B678F">
      <w:pPr>
        <w:pStyle w:val="ListParagraph"/>
        <w:numPr>
          <w:ilvl w:val="0"/>
          <w:numId w:val="1"/>
        </w:numPr>
        <w:spacing w:after="120" w:line="240" w:lineRule="auto"/>
        <w:contextualSpacing w:val="0"/>
      </w:pPr>
      <w:r>
        <w:t>P05.03.020. Organization.</w:t>
      </w:r>
    </w:p>
    <w:p w14:paraId="2700B147" w14:textId="77777777" w:rsidR="00863DD1" w:rsidRDefault="00863DD1" w:rsidP="008B678F">
      <w:pPr>
        <w:pStyle w:val="ListParagraph"/>
        <w:numPr>
          <w:ilvl w:val="0"/>
          <w:numId w:val="6"/>
        </w:numPr>
        <w:spacing w:after="120" w:line="240" w:lineRule="auto"/>
        <w:contextualSpacing w:val="0"/>
      </w:pPr>
      <w:r w:rsidRPr="0009170A">
        <w:t xml:space="preserve">The </w:t>
      </w:r>
      <w:r>
        <w:t>chief</w:t>
      </w:r>
      <w:r w:rsidRPr="0009170A">
        <w:t xml:space="preserve"> audit </w:t>
      </w:r>
      <w:r>
        <w:t xml:space="preserve">executive </w:t>
      </w:r>
      <w:r w:rsidRPr="0009170A">
        <w:t>shall report administratively to the chief finance officer</w:t>
      </w:r>
      <w:r>
        <w:t xml:space="preserve"> </w:t>
      </w:r>
      <w:r w:rsidRPr="0009170A">
        <w:t xml:space="preserve">and functionally to the </w:t>
      </w:r>
      <w:r>
        <w:t xml:space="preserve">chair of the </w:t>
      </w:r>
      <w:r w:rsidRPr="0009170A">
        <w:t>Audit Committee of the boar</w:t>
      </w:r>
      <w:r>
        <w:t>d.</w:t>
      </w:r>
    </w:p>
    <w:p w14:paraId="609DBD98" w14:textId="77777777" w:rsidR="00863DD1" w:rsidRDefault="00863DD1" w:rsidP="008B678F">
      <w:pPr>
        <w:pStyle w:val="ListParagraph"/>
        <w:numPr>
          <w:ilvl w:val="0"/>
          <w:numId w:val="1"/>
        </w:numPr>
        <w:spacing w:after="120" w:line="240" w:lineRule="auto"/>
        <w:contextualSpacing w:val="0"/>
      </w:pPr>
      <w:r>
        <w:t>P05.03.026. Audit Planning.</w:t>
      </w:r>
    </w:p>
    <w:p w14:paraId="1E7F5107" w14:textId="77777777" w:rsidR="008C7B2F" w:rsidRPr="00DB317F" w:rsidRDefault="008C7B2F" w:rsidP="008B678F">
      <w:pPr>
        <w:pStyle w:val="ListParagraph"/>
        <w:numPr>
          <w:ilvl w:val="0"/>
          <w:numId w:val="5"/>
        </w:numPr>
        <w:spacing w:after="120" w:line="240" w:lineRule="auto"/>
        <w:contextualSpacing w:val="0"/>
      </w:pPr>
      <w:r>
        <w:t xml:space="preserve">The chief audit executive shall </w:t>
      </w:r>
      <w:r w:rsidRPr="0009170A">
        <w:t xml:space="preserve">independently </w:t>
      </w:r>
      <w:r>
        <w:t>develop</w:t>
      </w:r>
      <w:r w:rsidRPr="0009170A">
        <w:t xml:space="preserve"> the annual audit plan </w:t>
      </w:r>
      <w:r>
        <w:t>using a risk-based prioritization of the audit universe.</w:t>
      </w:r>
    </w:p>
    <w:p w14:paraId="15544719" w14:textId="77777777" w:rsidR="008C7B2F" w:rsidRDefault="008C7B2F" w:rsidP="008B678F">
      <w:pPr>
        <w:pStyle w:val="ListParagraph"/>
        <w:numPr>
          <w:ilvl w:val="0"/>
          <w:numId w:val="5"/>
        </w:numPr>
        <w:spacing w:after="120" w:line="240" w:lineRule="auto"/>
        <w:contextualSpacing w:val="0"/>
      </w:pPr>
      <w:r>
        <w:t xml:space="preserve">The chief audit executive shall present the </w:t>
      </w:r>
      <w:r w:rsidRPr="0009170A">
        <w:t xml:space="preserve">audit plan </w:t>
      </w:r>
      <w:r w:rsidR="00A3214B">
        <w:t xml:space="preserve">to </w:t>
      </w:r>
      <w:r w:rsidRPr="0009170A">
        <w:t xml:space="preserve">the </w:t>
      </w:r>
      <w:r>
        <w:t>Audit C</w:t>
      </w:r>
      <w:r w:rsidRPr="0009170A">
        <w:t>omm</w:t>
      </w:r>
      <w:r>
        <w:t>ittee for review and approval.</w:t>
      </w:r>
    </w:p>
    <w:p w14:paraId="5D383D7B" w14:textId="77777777" w:rsidR="008C7B2F" w:rsidRDefault="008C7B2F" w:rsidP="008B678F">
      <w:pPr>
        <w:pStyle w:val="ListParagraph"/>
        <w:numPr>
          <w:ilvl w:val="0"/>
          <w:numId w:val="5"/>
        </w:numPr>
        <w:spacing w:after="120" w:line="240" w:lineRule="auto"/>
        <w:contextualSpacing w:val="0"/>
      </w:pPr>
      <w:r>
        <w:t>Significant deviation from the formally approved plan will be communicated to senior management and the Audit Committee through periodic status reports.</w:t>
      </w:r>
    </w:p>
    <w:p w14:paraId="519B88C0" w14:textId="3F8D1108" w:rsidR="00630E44" w:rsidRDefault="00F16D58" w:rsidP="008B678F">
      <w:pPr>
        <w:spacing w:line="240" w:lineRule="auto"/>
      </w:pPr>
      <w:r>
        <w:t>The A&amp;CS charter was developed in accordance with the internal auditing standards promulgated by the International</w:t>
      </w:r>
      <w:r w:rsidR="00D35F2C">
        <w:t xml:space="preserve"> Institute of Internal Auditors</w:t>
      </w:r>
      <w:r w:rsidR="00F00086">
        <w:t xml:space="preserve"> (IIA)</w:t>
      </w:r>
      <w:r w:rsidR="00D35F2C">
        <w:t>:</w:t>
      </w:r>
    </w:p>
    <w:p w14:paraId="56DA0B42" w14:textId="77777777" w:rsidR="00F16D58" w:rsidRDefault="00652605" w:rsidP="008B678F">
      <w:pPr>
        <w:spacing w:line="240" w:lineRule="auto"/>
        <w:ind w:left="720"/>
      </w:pPr>
      <w:r>
        <w:t>Standard 2010 “T</w:t>
      </w:r>
      <w:r w:rsidR="00F16D58">
        <w:t xml:space="preserve">he chief audit executive must establish risk-based plans to determine the priorities of the internal audit activity, consistent </w:t>
      </w:r>
      <w:r w:rsidR="009A7A08">
        <w:t>with the organization’s goals.  The internal audit activity’s plan of engagements must be based on a documented risk assessment, undertaken at least annually.  The input of senior management and the board must be considered in this process.”</w:t>
      </w:r>
    </w:p>
    <w:p w14:paraId="05EED732" w14:textId="77777777" w:rsidR="009A7A08" w:rsidRDefault="00652605" w:rsidP="008B678F">
      <w:pPr>
        <w:spacing w:line="240" w:lineRule="auto"/>
        <w:ind w:left="720"/>
      </w:pPr>
      <w:r>
        <w:t>Standard 2020 “T</w:t>
      </w:r>
      <w:r w:rsidR="009A7A08">
        <w:t>he chief audit executive must communicate the internal audit activity’s plans and resource requirements, including significant interim changes, to senior management and the board for review and approval.”</w:t>
      </w:r>
    </w:p>
    <w:p w14:paraId="36C24213" w14:textId="77777777" w:rsidR="009A7A08" w:rsidRDefault="00652605" w:rsidP="008B678F">
      <w:pPr>
        <w:spacing w:line="240" w:lineRule="auto"/>
        <w:ind w:left="720"/>
      </w:pPr>
      <w:r>
        <w:t>Standard 2060 “T</w:t>
      </w:r>
      <w:r w:rsidR="009A7A08">
        <w:t>he chief audit executive must report periodically to senior management and the board on the internal audit activity’s purpose, authority, responsibility, and performance relative to its plan…”</w:t>
      </w:r>
    </w:p>
    <w:p w14:paraId="31239E62" w14:textId="3E7FDE82" w:rsidR="00463D02" w:rsidRDefault="00463D02" w:rsidP="00905963">
      <w:pPr>
        <w:pStyle w:val="Heading1"/>
        <w:spacing w:after="240"/>
      </w:pPr>
      <w:bookmarkStart w:id="2" w:name="_Toc490488559"/>
      <w:r>
        <w:lastRenderedPageBreak/>
        <w:t>Confirmation of Organizational Independence</w:t>
      </w:r>
      <w:bookmarkEnd w:id="2"/>
    </w:p>
    <w:p w14:paraId="4A87F0F3" w14:textId="499A7A1B" w:rsidR="00463D02" w:rsidRDefault="00463D02" w:rsidP="00463D02">
      <w:r>
        <w:t>The Office of Audit and Consulting Services (A&amp;CS) confirms its organizational independence to the Board of Regents Audit Committee.</w:t>
      </w:r>
    </w:p>
    <w:p w14:paraId="0851EA69" w14:textId="5997B692" w:rsidR="00463D02" w:rsidRDefault="00463D02" w:rsidP="00D17294">
      <w:pPr>
        <w:pStyle w:val="ListParagraph"/>
        <w:numPr>
          <w:ilvl w:val="0"/>
          <w:numId w:val="38"/>
        </w:numPr>
      </w:pPr>
      <w:r>
        <w:t>The chief audit executive (CAE) had direct and unrestricted access to senior management.</w:t>
      </w:r>
    </w:p>
    <w:p w14:paraId="464B3BCA" w14:textId="1C4B80ED" w:rsidR="00463D02" w:rsidRDefault="00463D02" w:rsidP="00D17294">
      <w:pPr>
        <w:pStyle w:val="ListParagraph"/>
        <w:numPr>
          <w:ilvl w:val="0"/>
          <w:numId w:val="38"/>
        </w:numPr>
      </w:pPr>
      <w:r>
        <w:t>The CAE and staff performed their work objectively – no quality compromises were made and judgment on audit matters was not subordinated to any others in the organization.</w:t>
      </w:r>
    </w:p>
    <w:p w14:paraId="31A4D9FD" w14:textId="60B5BC1B" w:rsidR="00463D02" w:rsidRDefault="00463D02" w:rsidP="00D17294">
      <w:pPr>
        <w:pStyle w:val="ListParagraph"/>
        <w:numPr>
          <w:ilvl w:val="0"/>
          <w:numId w:val="38"/>
        </w:numPr>
      </w:pPr>
      <w:r>
        <w:t>The CAE and staff had no conflict of interest situations and did not perform operational duties or make management decisions external to A&amp;CS.</w:t>
      </w:r>
    </w:p>
    <w:p w14:paraId="407196DF" w14:textId="1D1CD9E0" w:rsidR="00463D02" w:rsidRDefault="00463D02" w:rsidP="00D17294">
      <w:pPr>
        <w:pStyle w:val="ListParagraph"/>
        <w:numPr>
          <w:ilvl w:val="0"/>
          <w:numId w:val="38"/>
        </w:numPr>
      </w:pPr>
      <w:r>
        <w:t>A&amp;CS had no impairments to organizational independence such as scope limitations; restrictions on access to records, personnel, properties; or resource limitations.</w:t>
      </w:r>
    </w:p>
    <w:p w14:paraId="72C10E65" w14:textId="78E33F50" w:rsidR="00DB2D05" w:rsidRDefault="00DB2D05" w:rsidP="00DB2D05">
      <w:r>
        <w:t>Institute of Internal Auditors Standards for Independence:</w:t>
      </w:r>
    </w:p>
    <w:p w14:paraId="24B96EFA" w14:textId="6860DEA1" w:rsidR="00DB2D05" w:rsidRPr="00D17294" w:rsidRDefault="00DB2D05" w:rsidP="00D17294">
      <w:pPr>
        <w:pStyle w:val="ListParagraph"/>
        <w:numPr>
          <w:ilvl w:val="0"/>
          <w:numId w:val="37"/>
        </w:numPr>
        <w:spacing w:after="60"/>
        <w:rPr>
          <w:b/>
          <w:i/>
        </w:rPr>
      </w:pPr>
      <w:r w:rsidRPr="00D17294">
        <w:rPr>
          <w:b/>
          <w:i/>
        </w:rPr>
        <w:t>1100 – Independence and Objectivity</w:t>
      </w:r>
    </w:p>
    <w:p w14:paraId="3B5C8B82" w14:textId="10E2EDCF" w:rsidR="00DB2D05" w:rsidRDefault="00DB2D05" w:rsidP="00D17294">
      <w:pPr>
        <w:pStyle w:val="ListParagraph"/>
      </w:pPr>
      <w:r>
        <w:t>The internal audit activity must be independent, and internal auditors must be objective in performing their work.</w:t>
      </w:r>
    </w:p>
    <w:p w14:paraId="6749AF9C" w14:textId="6475101B" w:rsidR="00DB2D05" w:rsidRPr="00D17294" w:rsidRDefault="00DB2D05" w:rsidP="00D17294">
      <w:pPr>
        <w:pStyle w:val="ListParagraph"/>
        <w:numPr>
          <w:ilvl w:val="0"/>
          <w:numId w:val="37"/>
        </w:numPr>
        <w:spacing w:after="60"/>
        <w:rPr>
          <w:b/>
          <w:i/>
        </w:rPr>
      </w:pPr>
      <w:r w:rsidRPr="00D17294">
        <w:rPr>
          <w:b/>
          <w:i/>
        </w:rPr>
        <w:t>1110 – Organizational Independence</w:t>
      </w:r>
    </w:p>
    <w:p w14:paraId="0CD863B0" w14:textId="7B740032" w:rsidR="00DB2D05" w:rsidRDefault="009E2514" w:rsidP="00D17294">
      <w:pPr>
        <w:pStyle w:val="ListParagraph"/>
      </w:pPr>
      <w:r>
        <w:t>The chief audit executive must report to a level within the organization that allows the internal audit activity to fulfill its responsibilities.  The chief audit executive must confirm to the board, at least annually, the organizational independence of the internal audit activity.</w:t>
      </w:r>
    </w:p>
    <w:p w14:paraId="45CD9904" w14:textId="345C65A1" w:rsidR="009E2514" w:rsidRPr="00D17294" w:rsidRDefault="009E2514" w:rsidP="00D17294">
      <w:pPr>
        <w:pStyle w:val="ListParagraph"/>
        <w:numPr>
          <w:ilvl w:val="0"/>
          <w:numId w:val="37"/>
        </w:numPr>
        <w:spacing w:after="60"/>
        <w:rPr>
          <w:b/>
          <w:i/>
        </w:rPr>
      </w:pPr>
      <w:r w:rsidRPr="00D17294">
        <w:rPr>
          <w:b/>
          <w:i/>
        </w:rPr>
        <w:t>1111 – Direct Interaction with the Board</w:t>
      </w:r>
    </w:p>
    <w:p w14:paraId="60F738DB" w14:textId="3C2F458D" w:rsidR="009E2514" w:rsidRDefault="009053B1" w:rsidP="00D17294">
      <w:pPr>
        <w:pStyle w:val="ListParagraph"/>
      </w:pPr>
      <w:r>
        <w:t>The chief audit executive must communicate and interact directly with the board.</w:t>
      </w:r>
    </w:p>
    <w:p w14:paraId="73BD31E0" w14:textId="72A3BF62" w:rsidR="009053B1" w:rsidRPr="00D17294" w:rsidRDefault="009053B1" w:rsidP="00D17294">
      <w:pPr>
        <w:pStyle w:val="ListParagraph"/>
        <w:numPr>
          <w:ilvl w:val="0"/>
          <w:numId w:val="37"/>
        </w:numPr>
        <w:spacing w:after="60"/>
        <w:rPr>
          <w:b/>
          <w:i/>
        </w:rPr>
      </w:pPr>
      <w:r w:rsidRPr="00D17294">
        <w:rPr>
          <w:b/>
          <w:i/>
        </w:rPr>
        <w:t>1120 – Individual Objectivity</w:t>
      </w:r>
    </w:p>
    <w:p w14:paraId="4F831404" w14:textId="06221625" w:rsidR="009053B1" w:rsidRDefault="009053B1" w:rsidP="00D17294">
      <w:pPr>
        <w:pStyle w:val="ListParagraph"/>
      </w:pPr>
      <w:r>
        <w:t>Internal auditors must have an impartial, unbiased attitude and avoid any conflict of interest.</w:t>
      </w:r>
    </w:p>
    <w:p w14:paraId="759AFDB4" w14:textId="13302A74" w:rsidR="009053B1" w:rsidRPr="00D17294" w:rsidRDefault="009053B1" w:rsidP="00D17294">
      <w:pPr>
        <w:pStyle w:val="ListParagraph"/>
        <w:numPr>
          <w:ilvl w:val="0"/>
          <w:numId w:val="37"/>
        </w:numPr>
        <w:spacing w:after="60"/>
        <w:rPr>
          <w:b/>
          <w:i/>
        </w:rPr>
      </w:pPr>
      <w:r w:rsidRPr="00D17294">
        <w:rPr>
          <w:b/>
          <w:i/>
        </w:rPr>
        <w:t>1130 – Impairment to Independence or Objectivity</w:t>
      </w:r>
    </w:p>
    <w:p w14:paraId="45A983C0" w14:textId="4851D340" w:rsidR="009053B1" w:rsidRDefault="009053B1" w:rsidP="00D17294">
      <w:pPr>
        <w:pStyle w:val="ListParagraph"/>
      </w:pPr>
      <w:r>
        <w:t>If independence or objectivity is impaired in fact or appearance, the details of the impairment must be disclosed to the appropriate parties.  The nature of the disclosure will depend upon the impairment.</w:t>
      </w:r>
    </w:p>
    <w:p w14:paraId="285CAEB8" w14:textId="3C10B405" w:rsidR="000D3C1D" w:rsidRDefault="000D3C1D" w:rsidP="000D3C1D"/>
    <w:p w14:paraId="29FE5558" w14:textId="7E5BD055" w:rsidR="00463D02" w:rsidRPr="00463D02" w:rsidRDefault="00463D02" w:rsidP="00463D02">
      <w:r>
        <w:br w:type="page"/>
      </w:r>
    </w:p>
    <w:p w14:paraId="6C8B7B0E" w14:textId="516B8AB3" w:rsidR="009A7A08" w:rsidRDefault="009A7A08" w:rsidP="00905963">
      <w:pPr>
        <w:pStyle w:val="Heading1"/>
        <w:spacing w:after="240"/>
      </w:pPr>
      <w:bookmarkStart w:id="3" w:name="_Toc490488560"/>
      <w:r w:rsidRPr="00905963">
        <w:lastRenderedPageBreak/>
        <w:t>Organizational Chart</w:t>
      </w:r>
      <w:bookmarkEnd w:id="3"/>
    </w:p>
    <w:p w14:paraId="3DFCAE37" w14:textId="7C8177FB" w:rsidR="009A7A08" w:rsidRDefault="00463D02" w:rsidP="008B678F">
      <w:pPr>
        <w:spacing w:line="240" w:lineRule="auto"/>
        <w:rPr>
          <w:i/>
        </w:rPr>
      </w:pPr>
      <w:r>
        <w:rPr>
          <w:i/>
        </w:rPr>
        <w:t>As</w:t>
      </w:r>
      <w:r w:rsidR="00640BCC">
        <w:rPr>
          <w:i/>
        </w:rPr>
        <w:t xml:space="preserve"> of August</w:t>
      </w:r>
      <w:r w:rsidR="00AE7D69" w:rsidRPr="00DF69FB">
        <w:rPr>
          <w:i/>
        </w:rPr>
        <w:t xml:space="preserve"> 201</w:t>
      </w:r>
      <w:r w:rsidR="000C0B52">
        <w:rPr>
          <w:i/>
        </w:rPr>
        <w:t>7</w:t>
      </w:r>
    </w:p>
    <w:p w14:paraId="1FB35EA7" w14:textId="7D939922" w:rsidR="00C23378" w:rsidRDefault="000C0B52" w:rsidP="000C0B52">
      <w:pPr>
        <w:spacing w:line="240" w:lineRule="auto"/>
      </w:pPr>
      <w:r w:rsidRPr="000C0B52">
        <w:rPr>
          <w:i/>
          <w:noProof/>
        </w:rPr>
        <w:drawing>
          <wp:inline distT="0" distB="0" distL="0" distR="0" wp14:anchorId="5232C907" wp14:editId="12D9FCA2">
            <wp:extent cx="5943600" cy="7380620"/>
            <wp:effectExtent l="0" t="0" r="0" b="0"/>
            <wp:docPr id="2" name="Picture 2" descr="H:\AUDIT\AUDIT MANUAL\Draft Revisions\Org Chart Info\2017.08.14 Audit _Verticle Org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DIT\AUDIT MANUAL\Draft Revisions\Org Chart Info\2017.08.14 Audit _Verticle Org ch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380620"/>
                    </a:xfrm>
                    <a:prstGeom prst="rect">
                      <a:avLst/>
                    </a:prstGeom>
                    <a:noFill/>
                    <a:ln>
                      <a:noFill/>
                    </a:ln>
                  </pic:spPr>
                </pic:pic>
              </a:graphicData>
            </a:graphic>
          </wp:inline>
        </w:drawing>
      </w:r>
      <w:r w:rsidR="00C23378">
        <w:br w:type="page"/>
      </w:r>
    </w:p>
    <w:p w14:paraId="327DE45E" w14:textId="77777777" w:rsidR="00E96240" w:rsidRDefault="00E96240" w:rsidP="00E96240">
      <w:pPr>
        <w:pStyle w:val="Heading1"/>
        <w:spacing w:after="240"/>
      </w:pPr>
      <w:bookmarkStart w:id="4" w:name="_Toc490488561"/>
      <w:r>
        <w:lastRenderedPageBreak/>
        <w:t>Audit Staff Profile</w:t>
      </w:r>
      <w:bookmarkEnd w:id="4"/>
    </w:p>
    <w:p w14:paraId="22AEC94F" w14:textId="0655BD9D" w:rsidR="00E96240" w:rsidRDefault="00E96240" w:rsidP="00E96240">
      <w:pPr>
        <w:tabs>
          <w:tab w:val="left" w:pos="1140"/>
        </w:tabs>
        <w:spacing w:line="240" w:lineRule="auto"/>
      </w:pPr>
      <w:r>
        <w:t>Five professional audit staff serve all locations within the UA system.  We ar</w:t>
      </w:r>
      <w:r w:rsidR="003321F4">
        <w:t>e currently recruiting to fill one</w:t>
      </w:r>
      <w:r>
        <w:t xml:space="preserve"> vacancy within the five positions.  A School of Management student is often hired as an audit intern to assist with project</w:t>
      </w:r>
      <w:r w:rsidR="0077313E">
        <w:t>s</w:t>
      </w:r>
      <w:r>
        <w:t xml:space="preserve"> such as follow-up auditing and </w:t>
      </w:r>
      <w:r w:rsidR="0077313E">
        <w:t xml:space="preserve">development of </w:t>
      </w:r>
      <w:r>
        <w:t>flowcharts.</w:t>
      </w:r>
    </w:p>
    <w:p w14:paraId="266DA967" w14:textId="77777777" w:rsidR="00E96240" w:rsidRDefault="00E96240" w:rsidP="00E96240">
      <w:pPr>
        <w:tabs>
          <w:tab w:val="left" w:pos="1140"/>
        </w:tabs>
        <w:spacing w:line="240" w:lineRule="auto"/>
      </w:pPr>
      <w:r>
        <w:t>The internal auditors have a variety of specialized subject matter expertise:</w:t>
      </w:r>
    </w:p>
    <w:p w14:paraId="580895C1" w14:textId="77777777" w:rsidR="00E96240" w:rsidRDefault="00E96240" w:rsidP="00E96240">
      <w:pPr>
        <w:pStyle w:val="ListParagraph"/>
        <w:numPr>
          <w:ilvl w:val="0"/>
          <w:numId w:val="2"/>
        </w:numPr>
        <w:spacing w:line="240" w:lineRule="auto"/>
      </w:pPr>
      <w:r>
        <w:t>2 Certified Information Systems Auditors (CISA)</w:t>
      </w:r>
    </w:p>
    <w:p w14:paraId="5C65F5F0" w14:textId="77777777" w:rsidR="00E96240" w:rsidRDefault="00E96240" w:rsidP="00E96240">
      <w:pPr>
        <w:pStyle w:val="ListParagraph"/>
        <w:numPr>
          <w:ilvl w:val="0"/>
          <w:numId w:val="2"/>
        </w:numPr>
        <w:spacing w:line="240" w:lineRule="auto"/>
      </w:pPr>
      <w:r>
        <w:t>2 Masters of Business Administration (MBA)</w:t>
      </w:r>
    </w:p>
    <w:p w14:paraId="4E98D672" w14:textId="77777777" w:rsidR="00E96240" w:rsidRDefault="00E96240" w:rsidP="00E96240">
      <w:pPr>
        <w:pStyle w:val="ListParagraph"/>
        <w:numPr>
          <w:ilvl w:val="0"/>
          <w:numId w:val="2"/>
        </w:numPr>
        <w:spacing w:line="240" w:lineRule="auto"/>
      </w:pPr>
      <w:r>
        <w:t>2 Certified Public Accountants (CPA)</w:t>
      </w:r>
    </w:p>
    <w:p w14:paraId="5867C095" w14:textId="77777777" w:rsidR="00E96240" w:rsidRDefault="00E96240" w:rsidP="00E96240">
      <w:pPr>
        <w:pStyle w:val="ListParagraph"/>
        <w:numPr>
          <w:ilvl w:val="0"/>
          <w:numId w:val="2"/>
        </w:numPr>
        <w:spacing w:line="240" w:lineRule="auto"/>
      </w:pPr>
      <w:r>
        <w:t>1 Certified Internal Auditor (CIA)</w:t>
      </w:r>
    </w:p>
    <w:p w14:paraId="1F5406EC" w14:textId="77777777" w:rsidR="00E96240" w:rsidRDefault="00E96240" w:rsidP="00E96240">
      <w:pPr>
        <w:pStyle w:val="ListParagraph"/>
        <w:numPr>
          <w:ilvl w:val="0"/>
          <w:numId w:val="2"/>
        </w:numPr>
        <w:spacing w:line="240" w:lineRule="auto"/>
      </w:pPr>
      <w:r>
        <w:t>1 Certified Management Accountant (CMA)</w:t>
      </w:r>
    </w:p>
    <w:p w14:paraId="759A49B2" w14:textId="77777777" w:rsidR="00E96240" w:rsidRDefault="00E96240" w:rsidP="00E96240">
      <w:pPr>
        <w:pStyle w:val="ListParagraph"/>
        <w:numPr>
          <w:ilvl w:val="0"/>
          <w:numId w:val="2"/>
        </w:numPr>
        <w:spacing w:line="240" w:lineRule="auto"/>
      </w:pPr>
      <w:r>
        <w:t>2 Certified Fraud Examiners (CFE)</w:t>
      </w:r>
    </w:p>
    <w:p w14:paraId="1B41EB5E" w14:textId="77777777" w:rsidR="007E43A4" w:rsidRDefault="00E96240" w:rsidP="00E96240">
      <w:pPr>
        <w:tabs>
          <w:tab w:val="left" w:pos="1140"/>
        </w:tabs>
        <w:spacing w:line="240" w:lineRule="auto"/>
      </w:pPr>
      <w:r>
        <w:t xml:space="preserve">Auditors continue to pursue professional certifications such as the CIA.  </w:t>
      </w:r>
    </w:p>
    <w:p w14:paraId="3B0A3A2F" w14:textId="1C15E950" w:rsidR="00E96240" w:rsidRDefault="00E96240" w:rsidP="00E96240">
      <w:pPr>
        <w:tabs>
          <w:tab w:val="left" w:pos="1140"/>
        </w:tabs>
        <w:spacing w:line="240" w:lineRule="auto"/>
      </w:pPr>
      <w:r>
        <w:t xml:space="preserve">Achievement of professional certifications supports A&amp;CS in the overall achievement of its </w:t>
      </w:r>
      <w:r w:rsidR="006A355B">
        <w:rPr>
          <w:rStyle w:val="IntenseEmphasis"/>
          <w:b/>
        </w:rPr>
        <w:t>FY18 Annual Audit Plan</w:t>
      </w:r>
      <w:r w:rsidRPr="009229F8">
        <w:rPr>
          <w:i/>
          <w:iCs/>
        </w:rPr>
        <w:t xml:space="preserve">, </w:t>
      </w:r>
      <w:r w:rsidRPr="009229F8">
        <w:t xml:space="preserve">which is consistent with the IIA Standards, the Code of Ethics, and the direction of the internal audit profession </w:t>
      </w:r>
      <w:r>
        <w:t xml:space="preserve">to serve </w:t>
      </w:r>
      <w:r w:rsidRPr="009229F8">
        <w:t>as</w:t>
      </w:r>
      <w:r>
        <w:t xml:space="preserve"> </w:t>
      </w:r>
      <w:r w:rsidRPr="001D5DFF">
        <w:rPr>
          <w:rStyle w:val="IntenseEmphasis"/>
          <w:b/>
        </w:rPr>
        <w:t>independent yet trusted advisors</w:t>
      </w:r>
      <w:r>
        <w:t xml:space="preserve"> to their organizations</w:t>
      </w:r>
      <w:r w:rsidRPr="009229F8">
        <w:t>.</w:t>
      </w:r>
    </w:p>
    <w:p w14:paraId="3F13494C" w14:textId="515271DF" w:rsidR="00E810A1" w:rsidRPr="009229F8" w:rsidRDefault="00E810A1" w:rsidP="00E96240">
      <w:pPr>
        <w:tabs>
          <w:tab w:val="left" w:pos="1140"/>
        </w:tabs>
        <w:spacing w:line="240" w:lineRule="auto"/>
      </w:pPr>
      <w:r>
        <w:rPr>
          <w:noProof/>
        </w:rPr>
        <w:drawing>
          <wp:anchor distT="0" distB="0" distL="114300" distR="114300" simplePos="0" relativeHeight="251675648" behindDoc="1" locked="0" layoutInCell="1" allowOverlap="1" wp14:anchorId="44881885" wp14:editId="7367018D">
            <wp:simplePos x="0" y="0"/>
            <wp:positionH relativeFrom="column">
              <wp:posOffset>388189</wp:posOffset>
            </wp:positionH>
            <wp:positionV relativeFrom="paragraph">
              <wp:posOffset>267982</wp:posOffset>
            </wp:positionV>
            <wp:extent cx="5040630" cy="3786996"/>
            <wp:effectExtent l="19050" t="0" r="762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46A063B" w14:textId="565D38A2" w:rsidR="00E96240" w:rsidRDefault="00E96240">
      <w:pPr>
        <w:rPr>
          <w:rFonts w:asciiTheme="majorHAnsi" w:eastAsiaTheme="majorEastAsia" w:hAnsiTheme="majorHAnsi" w:cstheme="majorBidi"/>
          <w:color w:val="365F91" w:themeColor="accent1" w:themeShade="BF"/>
          <w:sz w:val="32"/>
          <w:szCs w:val="32"/>
        </w:rPr>
      </w:pPr>
      <w:r>
        <w:br w:type="page"/>
      </w:r>
    </w:p>
    <w:p w14:paraId="47DB023B" w14:textId="2FD31E80" w:rsidR="004D2D58" w:rsidRPr="00905963" w:rsidRDefault="00652605" w:rsidP="00905963">
      <w:pPr>
        <w:pStyle w:val="Heading1"/>
        <w:spacing w:after="240"/>
      </w:pPr>
      <w:bookmarkStart w:id="5" w:name="_Toc490488562"/>
      <w:r w:rsidRPr="00905963">
        <w:lastRenderedPageBreak/>
        <w:t>Audits and Projects Completed</w:t>
      </w:r>
      <w:r w:rsidR="00BB4B2A" w:rsidRPr="00905963">
        <w:t xml:space="preserve"> in FY1</w:t>
      </w:r>
      <w:r w:rsidR="00A7696F">
        <w:t>7</w:t>
      </w:r>
      <w:bookmarkEnd w:id="5"/>
    </w:p>
    <w:p w14:paraId="37F173D1" w14:textId="1FAAB7A1" w:rsidR="004D2D58" w:rsidRDefault="004D2D58" w:rsidP="008B678F">
      <w:pPr>
        <w:spacing w:line="240" w:lineRule="auto"/>
      </w:pPr>
      <w:r>
        <w:t>During the period from July 2</w:t>
      </w:r>
      <w:r w:rsidR="004911A5">
        <w:t>01</w:t>
      </w:r>
      <w:r w:rsidR="00A7696F">
        <w:t>6</w:t>
      </w:r>
      <w:r w:rsidR="00652605">
        <w:t xml:space="preserve"> to June </w:t>
      </w:r>
      <w:r w:rsidR="004911A5">
        <w:t>201</w:t>
      </w:r>
      <w:r w:rsidR="00A7696F">
        <w:t>7</w:t>
      </w:r>
      <w:r w:rsidR="00652605">
        <w:t xml:space="preserve"> the following engagements were completed</w:t>
      </w:r>
      <w:r>
        <w:t>:</w:t>
      </w:r>
    </w:p>
    <w:tbl>
      <w:tblPr>
        <w:tblStyle w:val="TableGrid"/>
        <w:tblW w:w="0" w:type="auto"/>
        <w:tblLook w:val="04A0" w:firstRow="1" w:lastRow="0" w:firstColumn="1" w:lastColumn="0" w:noHBand="0" w:noVBand="1"/>
      </w:tblPr>
      <w:tblGrid>
        <w:gridCol w:w="1132"/>
        <w:gridCol w:w="2136"/>
        <w:gridCol w:w="4557"/>
        <w:gridCol w:w="1525"/>
      </w:tblGrid>
      <w:tr w:rsidR="00FE2543" w:rsidRPr="004D2D58" w14:paraId="056F05A3" w14:textId="77777777" w:rsidTr="00FE2543">
        <w:tc>
          <w:tcPr>
            <w:tcW w:w="1132" w:type="dxa"/>
          </w:tcPr>
          <w:p w14:paraId="39B06CCE" w14:textId="4E28A38B" w:rsidR="00FE2543" w:rsidRPr="005A7E81" w:rsidRDefault="007C0E8E" w:rsidP="00FE2543">
            <w:pPr>
              <w:jc w:val="center"/>
              <w:rPr>
                <w:rStyle w:val="IntenseEmphasis"/>
              </w:rPr>
            </w:pPr>
            <w:r>
              <w:br w:type="page"/>
            </w:r>
            <w:r w:rsidR="00FE2543" w:rsidRPr="005A7E81">
              <w:rPr>
                <w:rStyle w:val="IntenseEmphasis"/>
              </w:rPr>
              <w:t>Institution</w:t>
            </w:r>
          </w:p>
        </w:tc>
        <w:tc>
          <w:tcPr>
            <w:tcW w:w="2136" w:type="dxa"/>
          </w:tcPr>
          <w:p w14:paraId="404ADB0D" w14:textId="77777777" w:rsidR="00FE2543" w:rsidRPr="005A7E81" w:rsidRDefault="00FE2543" w:rsidP="00E420EE">
            <w:pPr>
              <w:jc w:val="center"/>
              <w:rPr>
                <w:rStyle w:val="IntenseEmphasis"/>
              </w:rPr>
            </w:pPr>
            <w:r w:rsidRPr="005A7E81">
              <w:rPr>
                <w:rStyle w:val="IntenseEmphasis"/>
              </w:rPr>
              <w:t>Engagement Title</w:t>
            </w:r>
          </w:p>
        </w:tc>
        <w:tc>
          <w:tcPr>
            <w:tcW w:w="4557" w:type="dxa"/>
          </w:tcPr>
          <w:p w14:paraId="12C24EC1" w14:textId="77777777" w:rsidR="00FE2543" w:rsidRPr="005A7E81" w:rsidRDefault="00FE2543" w:rsidP="00E420EE">
            <w:pPr>
              <w:jc w:val="center"/>
              <w:rPr>
                <w:rStyle w:val="IntenseEmphasis"/>
              </w:rPr>
            </w:pPr>
            <w:r>
              <w:rPr>
                <w:rStyle w:val="IntenseEmphasis"/>
              </w:rPr>
              <w:t>Procedures Performed</w:t>
            </w:r>
          </w:p>
        </w:tc>
        <w:tc>
          <w:tcPr>
            <w:tcW w:w="1525" w:type="dxa"/>
          </w:tcPr>
          <w:p w14:paraId="4353EB19" w14:textId="77777777" w:rsidR="00FE2543" w:rsidRPr="005A7E81" w:rsidRDefault="00FE2543" w:rsidP="00E420EE">
            <w:pPr>
              <w:jc w:val="center"/>
              <w:rPr>
                <w:rStyle w:val="IntenseEmphasis"/>
              </w:rPr>
            </w:pPr>
            <w:r>
              <w:rPr>
                <w:rStyle w:val="IntenseEmphasis"/>
              </w:rPr>
              <w:t>Outcome</w:t>
            </w:r>
          </w:p>
        </w:tc>
      </w:tr>
      <w:tr w:rsidR="00FE2543" w14:paraId="00C7685B" w14:textId="77777777" w:rsidTr="00FE2543">
        <w:trPr>
          <w:trHeight w:val="70"/>
        </w:trPr>
        <w:tc>
          <w:tcPr>
            <w:tcW w:w="1132" w:type="dxa"/>
          </w:tcPr>
          <w:p w14:paraId="0F37F2BE" w14:textId="77777777" w:rsidR="00FE2543" w:rsidRDefault="00FE2543" w:rsidP="00FE2543">
            <w:pPr>
              <w:jc w:val="center"/>
            </w:pPr>
            <w:r>
              <w:t>UA System</w:t>
            </w:r>
          </w:p>
          <w:p w14:paraId="70682329" w14:textId="77777777" w:rsidR="00FE2543" w:rsidRPr="00DF4F5E" w:rsidRDefault="00FE2543" w:rsidP="00FE2543">
            <w:pPr>
              <w:jc w:val="center"/>
            </w:pPr>
          </w:p>
          <w:p w14:paraId="6619C850" w14:textId="77777777" w:rsidR="00FE2543" w:rsidRDefault="00FE2543" w:rsidP="00FE2543">
            <w:pPr>
              <w:jc w:val="center"/>
            </w:pPr>
          </w:p>
          <w:p w14:paraId="06269EFA" w14:textId="77777777" w:rsidR="00FE2543" w:rsidRDefault="00FE2543" w:rsidP="00FE2543">
            <w:pPr>
              <w:jc w:val="center"/>
            </w:pPr>
          </w:p>
          <w:p w14:paraId="12AD7E3E" w14:textId="77777777" w:rsidR="00FE2543" w:rsidRDefault="00FE2543" w:rsidP="00FE2543">
            <w:pPr>
              <w:jc w:val="center"/>
            </w:pPr>
          </w:p>
          <w:p w14:paraId="24D0C473" w14:textId="77777777" w:rsidR="00FE2543" w:rsidRDefault="00FE2543" w:rsidP="00FE2543">
            <w:pPr>
              <w:jc w:val="center"/>
            </w:pPr>
          </w:p>
          <w:p w14:paraId="780D44E5" w14:textId="57A47D89" w:rsidR="00FE2543" w:rsidRPr="00DF4F5E" w:rsidRDefault="00FE2543" w:rsidP="00FE2543">
            <w:pPr>
              <w:tabs>
                <w:tab w:val="left" w:pos="761"/>
              </w:tabs>
              <w:jc w:val="center"/>
            </w:pPr>
          </w:p>
        </w:tc>
        <w:tc>
          <w:tcPr>
            <w:tcW w:w="2136" w:type="dxa"/>
          </w:tcPr>
          <w:p w14:paraId="3018EC38" w14:textId="77777777" w:rsidR="00FE2543" w:rsidRPr="006E082A" w:rsidRDefault="00FE2543" w:rsidP="00E420EE">
            <w:r>
              <w:t>Sponsored Programs Effort Certification</w:t>
            </w:r>
          </w:p>
        </w:tc>
        <w:tc>
          <w:tcPr>
            <w:tcW w:w="4557" w:type="dxa"/>
          </w:tcPr>
          <w:p w14:paraId="472AF0E4" w14:textId="77777777" w:rsidR="00FE2543" w:rsidRDefault="00FE2543" w:rsidP="00E420EE">
            <w:pPr>
              <w:pStyle w:val="Default"/>
              <w:rPr>
                <w:rFonts w:asciiTheme="minorHAnsi" w:hAnsiTheme="minorHAnsi"/>
                <w:sz w:val="22"/>
                <w:szCs w:val="22"/>
              </w:rPr>
            </w:pPr>
            <w:r w:rsidRPr="004A61E8">
              <w:rPr>
                <w:rFonts w:asciiTheme="minorHAnsi" w:hAnsiTheme="minorHAnsi"/>
                <w:sz w:val="22"/>
                <w:szCs w:val="22"/>
              </w:rPr>
              <w:t xml:space="preserve">A selection of 50 labor transactions were examined to test the completeness, accuracy and timeliness of job forms, appointment letters and effort certifications. 20 of the 50 were labor transactions that correlated with the surveys that were conducted for a selection of PIs. Effort reporting for these transactions were tested for reasonableness, allowability and allocability. </w:t>
            </w:r>
          </w:p>
          <w:p w14:paraId="55683EC8" w14:textId="77777777" w:rsidR="00FE2543" w:rsidRPr="004A61E8" w:rsidRDefault="00FE2543" w:rsidP="00E420EE">
            <w:pPr>
              <w:pStyle w:val="Default"/>
              <w:rPr>
                <w:rFonts w:asciiTheme="minorHAnsi" w:hAnsiTheme="minorHAnsi"/>
                <w:sz w:val="22"/>
                <w:szCs w:val="22"/>
              </w:rPr>
            </w:pPr>
          </w:p>
          <w:p w14:paraId="1B3D6456" w14:textId="77777777" w:rsidR="00FE2543" w:rsidRDefault="00FE2543" w:rsidP="00E420EE">
            <w:pPr>
              <w:pStyle w:val="Default"/>
              <w:rPr>
                <w:rFonts w:asciiTheme="minorHAnsi" w:hAnsiTheme="minorHAnsi"/>
                <w:sz w:val="22"/>
                <w:szCs w:val="22"/>
              </w:rPr>
            </w:pPr>
            <w:r w:rsidRPr="004A61E8">
              <w:rPr>
                <w:rFonts w:asciiTheme="minorHAnsi" w:hAnsiTheme="minorHAnsi"/>
                <w:sz w:val="22"/>
                <w:szCs w:val="22"/>
              </w:rPr>
              <w:t xml:space="preserve">A selection of 10 labor redistributions and 5 matching funds labor transactions were examined to test for accuracy, timeliness, and reasonableness. </w:t>
            </w:r>
          </w:p>
          <w:p w14:paraId="1D3EFD61" w14:textId="77777777" w:rsidR="00FE2543" w:rsidRPr="004A61E8" w:rsidRDefault="00FE2543" w:rsidP="00E420EE">
            <w:pPr>
              <w:pStyle w:val="Default"/>
              <w:rPr>
                <w:rFonts w:asciiTheme="minorHAnsi" w:hAnsiTheme="minorHAnsi"/>
                <w:sz w:val="22"/>
                <w:szCs w:val="22"/>
              </w:rPr>
            </w:pPr>
          </w:p>
          <w:p w14:paraId="148B2651" w14:textId="77777777" w:rsidR="00FE2543" w:rsidRPr="004A61E8" w:rsidRDefault="00FE2543" w:rsidP="00E420EE">
            <w:pPr>
              <w:pStyle w:val="Default"/>
              <w:rPr>
                <w:rFonts w:asciiTheme="minorHAnsi" w:hAnsiTheme="minorHAnsi"/>
                <w:sz w:val="22"/>
                <w:szCs w:val="22"/>
              </w:rPr>
            </w:pPr>
            <w:r w:rsidRPr="004A61E8">
              <w:rPr>
                <w:rFonts w:asciiTheme="minorHAnsi" w:hAnsiTheme="minorHAnsi"/>
                <w:sz w:val="22"/>
                <w:szCs w:val="22"/>
              </w:rPr>
              <w:t xml:space="preserve">Two surveys were conducted: </w:t>
            </w:r>
          </w:p>
          <w:p w14:paraId="3949AE1E" w14:textId="77777777" w:rsidR="00FE2543" w:rsidRPr="004A61E8" w:rsidRDefault="00FE2543" w:rsidP="00E420EE">
            <w:pPr>
              <w:pStyle w:val="Default"/>
              <w:spacing w:after="69"/>
              <w:rPr>
                <w:rFonts w:asciiTheme="minorHAnsi" w:hAnsiTheme="minorHAnsi"/>
                <w:sz w:val="22"/>
                <w:szCs w:val="22"/>
              </w:rPr>
            </w:pPr>
            <w:r w:rsidRPr="004A61E8">
              <w:rPr>
                <w:rFonts w:asciiTheme="minorHAnsi" w:hAnsiTheme="minorHAnsi"/>
                <w:sz w:val="22"/>
                <w:szCs w:val="22"/>
              </w:rPr>
              <w:t xml:space="preserve">• A survey of 20 questionnaires was sent to principle investigators (PIs) to test internal controls in grant management, knowledge of regulations, training provided and monitoring methods for awards. </w:t>
            </w:r>
          </w:p>
          <w:p w14:paraId="5AA993AE" w14:textId="77777777" w:rsidR="00FE2543" w:rsidRPr="004A61E8" w:rsidRDefault="00FE2543" w:rsidP="00E420EE">
            <w:pPr>
              <w:pStyle w:val="Default"/>
              <w:rPr>
                <w:rFonts w:asciiTheme="minorHAnsi" w:hAnsiTheme="minorHAnsi"/>
                <w:sz w:val="22"/>
                <w:szCs w:val="22"/>
              </w:rPr>
            </w:pPr>
            <w:r w:rsidRPr="004A61E8">
              <w:rPr>
                <w:rFonts w:asciiTheme="minorHAnsi" w:hAnsiTheme="minorHAnsi"/>
                <w:sz w:val="22"/>
                <w:szCs w:val="22"/>
              </w:rPr>
              <w:t xml:space="preserve">• A survey of 15 questionnaires was sent to department fiscal managers to test the adequacy of internal controls that effort reported was complete, training provided was adequate and monitoring of the grant activity was adequate. </w:t>
            </w:r>
          </w:p>
          <w:p w14:paraId="369371CC" w14:textId="77777777" w:rsidR="00FE2543" w:rsidRDefault="00FE2543" w:rsidP="00E420EE"/>
          <w:p w14:paraId="5181750D" w14:textId="77777777" w:rsidR="00FE2543" w:rsidRPr="004A61E8" w:rsidRDefault="00FE2543" w:rsidP="00E420EE">
            <w:pPr>
              <w:tabs>
                <w:tab w:val="left" w:pos="1047"/>
              </w:tabs>
            </w:pPr>
            <w:r>
              <w:tab/>
            </w:r>
          </w:p>
        </w:tc>
        <w:tc>
          <w:tcPr>
            <w:tcW w:w="1525" w:type="dxa"/>
          </w:tcPr>
          <w:p w14:paraId="6E745AAC" w14:textId="77777777" w:rsidR="00FE2543" w:rsidRPr="006E082A" w:rsidRDefault="00FE2543" w:rsidP="00E420EE">
            <w:r>
              <w:rPr>
                <w:rFonts w:cs="Times New Roman"/>
                <w:color w:val="000000"/>
              </w:rPr>
              <w:t>Report Status:  Final audit report pending one response.</w:t>
            </w:r>
          </w:p>
        </w:tc>
      </w:tr>
      <w:tr w:rsidR="00FE2543" w14:paraId="6A15C10B" w14:textId="77777777" w:rsidTr="00FE2543">
        <w:trPr>
          <w:trHeight w:val="4310"/>
        </w:trPr>
        <w:tc>
          <w:tcPr>
            <w:tcW w:w="1132" w:type="dxa"/>
          </w:tcPr>
          <w:p w14:paraId="7CFB25E0" w14:textId="77777777" w:rsidR="00FE2543" w:rsidRDefault="00FE2543" w:rsidP="00FE2543">
            <w:pPr>
              <w:jc w:val="center"/>
            </w:pPr>
            <w:r>
              <w:lastRenderedPageBreak/>
              <w:t>UA System</w:t>
            </w:r>
          </w:p>
        </w:tc>
        <w:tc>
          <w:tcPr>
            <w:tcW w:w="2136" w:type="dxa"/>
          </w:tcPr>
          <w:p w14:paraId="49E8F2C5" w14:textId="77777777" w:rsidR="00FE2543" w:rsidDel="006D0135" w:rsidRDefault="00FE2543" w:rsidP="00E420EE">
            <w:r>
              <w:t>Cyber-resiliency IT Risk Management</w:t>
            </w:r>
          </w:p>
        </w:tc>
        <w:tc>
          <w:tcPr>
            <w:tcW w:w="4557" w:type="dxa"/>
          </w:tcPr>
          <w:p w14:paraId="08B64045" w14:textId="77777777" w:rsidR="00FE2543" w:rsidRDefault="00FE2543" w:rsidP="00E420EE">
            <w:pPr>
              <w:rPr>
                <w:szCs w:val="24"/>
              </w:rPr>
            </w:pPr>
            <w:r>
              <w:rPr>
                <w:szCs w:val="24"/>
              </w:rPr>
              <w:t>Interviews were conducted with executive and mid-level managers associated with scoped systems:</w:t>
            </w:r>
          </w:p>
          <w:p w14:paraId="52CC3C3B" w14:textId="77777777" w:rsidR="00FE2543" w:rsidRDefault="00FE2543" w:rsidP="00FE2543">
            <w:pPr>
              <w:numPr>
                <w:ilvl w:val="0"/>
                <w:numId w:val="40"/>
              </w:numPr>
              <w:rPr>
                <w:szCs w:val="24"/>
              </w:rPr>
            </w:pPr>
            <w:r>
              <w:rPr>
                <w:szCs w:val="24"/>
              </w:rPr>
              <w:t>Enterprise information systems (core systems)</w:t>
            </w:r>
          </w:p>
          <w:p w14:paraId="002F80E0" w14:textId="77777777" w:rsidR="00FE2543" w:rsidRDefault="00FE2543" w:rsidP="00FE2543">
            <w:pPr>
              <w:numPr>
                <w:ilvl w:val="0"/>
                <w:numId w:val="40"/>
              </w:numPr>
              <w:rPr>
                <w:szCs w:val="24"/>
              </w:rPr>
            </w:pPr>
            <w:r>
              <w:rPr>
                <w:szCs w:val="24"/>
              </w:rPr>
              <w:t>Banner</w:t>
            </w:r>
          </w:p>
          <w:p w14:paraId="396FB1E5" w14:textId="77777777" w:rsidR="00FE2543" w:rsidRDefault="00FE2543" w:rsidP="00FE2543">
            <w:pPr>
              <w:numPr>
                <w:ilvl w:val="0"/>
                <w:numId w:val="40"/>
              </w:numPr>
              <w:rPr>
                <w:szCs w:val="24"/>
              </w:rPr>
            </w:pPr>
            <w:r>
              <w:rPr>
                <w:szCs w:val="24"/>
              </w:rPr>
              <w:t>OnBase</w:t>
            </w:r>
          </w:p>
          <w:p w14:paraId="0D087197" w14:textId="77777777" w:rsidR="00FE2543" w:rsidRDefault="00FE2543" w:rsidP="00FE2543">
            <w:pPr>
              <w:numPr>
                <w:ilvl w:val="0"/>
                <w:numId w:val="40"/>
              </w:numPr>
              <w:rPr>
                <w:szCs w:val="24"/>
              </w:rPr>
            </w:pPr>
            <w:r>
              <w:rPr>
                <w:szCs w:val="24"/>
              </w:rPr>
              <w:t>BlackBoard Transact</w:t>
            </w:r>
          </w:p>
          <w:p w14:paraId="17FA7617" w14:textId="77777777" w:rsidR="00FE2543" w:rsidRDefault="00FE2543" w:rsidP="00E420EE">
            <w:pPr>
              <w:rPr>
                <w:szCs w:val="24"/>
              </w:rPr>
            </w:pPr>
          </w:p>
          <w:p w14:paraId="7E9107B9" w14:textId="77777777" w:rsidR="00FE2543" w:rsidRDefault="00FE2543" w:rsidP="00E420EE">
            <w:pPr>
              <w:rPr>
                <w:szCs w:val="24"/>
              </w:rPr>
            </w:pPr>
            <w:r>
              <w:rPr>
                <w:szCs w:val="24"/>
              </w:rPr>
              <w:t xml:space="preserve">Information was also gathered from a review of documents including the annual IT risk survey, the IT change management process, and the incident management process description, </w:t>
            </w:r>
            <w:r w:rsidRPr="00012004">
              <w:rPr>
                <w:szCs w:val="24"/>
              </w:rPr>
              <w:t xml:space="preserve">requested from </w:t>
            </w:r>
            <w:r>
              <w:rPr>
                <w:szCs w:val="24"/>
              </w:rPr>
              <w:t>OIT staff.</w:t>
            </w:r>
          </w:p>
          <w:p w14:paraId="1CE24D54" w14:textId="77777777" w:rsidR="00FE2543" w:rsidRPr="00E417D1" w:rsidRDefault="00FE2543" w:rsidP="00E420EE">
            <w:pPr>
              <w:rPr>
                <w:rStyle w:val="im"/>
                <w:highlight w:val="yellow"/>
              </w:rPr>
            </w:pPr>
          </w:p>
        </w:tc>
        <w:tc>
          <w:tcPr>
            <w:tcW w:w="1525" w:type="dxa"/>
          </w:tcPr>
          <w:p w14:paraId="30BD5294" w14:textId="77777777" w:rsidR="00FE2543" w:rsidRPr="00E417D1" w:rsidRDefault="00FE2543" w:rsidP="00E420EE">
            <w:pPr>
              <w:rPr>
                <w:rStyle w:val="im"/>
                <w:highlight w:val="yellow"/>
              </w:rPr>
            </w:pPr>
            <w:r>
              <w:rPr>
                <w:rFonts w:cs="Times New Roman"/>
                <w:color w:val="000000"/>
              </w:rPr>
              <w:t>Report Status:  Final audit report in development.</w:t>
            </w:r>
          </w:p>
        </w:tc>
      </w:tr>
      <w:tr w:rsidR="00FE2543" w:rsidRPr="00897CA8" w14:paraId="30F2B4D3" w14:textId="77777777" w:rsidTr="00FE2543">
        <w:trPr>
          <w:trHeight w:val="278"/>
        </w:trPr>
        <w:tc>
          <w:tcPr>
            <w:tcW w:w="1132" w:type="dxa"/>
          </w:tcPr>
          <w:p w14:paraId="5F9BB58F" w14:textId="77777777" w:rsidR="00FE2543" w:rsidRPr="00675E14" w:rsidDel="006D0135" w:rsidRDefault="00FE2543" w:rsidP="00FE2543">
            <w:pPr>
              <w:jc w:val="center"/>
            </w:pPr>
            <w:r>
              <w:t>UA System</w:t>
            </w:r>
          </w:p>
        </w:tc>
        <w:tc>
          <w:tcPr>
            <w:tcW w:w="2136" w:type="dxa"/>
          </w:tcPr>
          <w:p w14:paraId="739124BC" w14:textId="77777777" w:rsidR="00FE2543" w:rsidDel="006D0135" w:rsidRDefault="00FE2543" w:rsidP="00E420EE">
            <w:r>
              <w:t>Departmental Risk Management</w:t>
            </w:r>
          </w:p>
        </w:tc>
        <w:tc>
          <w:tcPr>
            <w:tcW w:w="4557" w:type="dxa"/>
          </w:tcPr>
          <w:p w14:paraId="223B2ED1" w14:textId="77777777" w:rsidR="00FE2543" w:rsidRDefault="00FE2543" w:rsidP="00E420EE">
            <w:pPr>
              <w:rPr>
                <w:szCs w:val="24"/>
              </w:rPr>
            </w:pPr>
            <w:r>
              <w:rPr>
                <w:szCs w:val="24"/>
              </w:rPr>
              <w:t>Six</w:t>
            </w:r>
            <w:r w:rsidRPr="0020409D">
              <w:rPr>
                <w:szCs w:val="24"/>
              </w:rPr>
              <w:t xml:space="preserve"> areas were selected based on student involvement in activities or departments with inherent risks to students</w:t>
            </w:r>
            <w:r>
              <w:rPr>
                <w:szCs w:val="24"/>
              </w:rPr>
              <w:t>:</w:t>
            </w:r>
          </w:p>
          <w:p w14:paraId="537FDEC4" w14:textId="77777777" w:rsidR="00FE2543" w:rsidRPr="0020409D" w:rsidRDefault="00FE2543" w:rsidP="00E420EE">
            <w:pPr>
              <w:rPr>
                <w:szCs w:val="24"/>
              </w:rPr>
            </w:pPr>
            <w:r>
              <w:rPr>
                <w:szCs w:val="24"/>
              </w:rPr>
              <w:t>1) UAA ANSEP, 2) UAA Health, Physical Education and Recreation, 3) UAF Art Department, 4) UAF MAPTS, 5) UAS Student Activities, 6) UAS Career Education.</w:t>
            </w:r>
          </w:p>
          <w:p w14:paraId="6B91F30C" w14:textId="77777777" w:rsidR="00FE2543" w:rsidRPr="0020409D" w:rsidRDefault="00FE2543" w:rsidP="00E420EE">
            <w:pPr>
              <w:rPr>
                <w:szCs w:val="24"/>
              </w:rPr>
            </w:pPr>
            <w:r w:rsidRPr="0020409D">
              <w:rPr>
                <w:szCs w:val="24"/>
              </w:rPr>
              <w:t xml:space="preserve">The review included audio conferences and in-person interviews with risk managers and directors. Walk-throughs were conducted during on-site visits to the UAF Art Department and the UAF MAPTS – Delta Junction training mine. </w:t>
            </w:r>
          </w:p>
          <w:p w14:paraId="5925F823" w14:textId="77777777" w:rsidR="00FE2543" w:rsidRPr="0020409D" w:rsidRDefault="00FE2543" w:rsidP="00E420EE">
            <w:pPr>
              <w:rPr>
                <w:szCs w:val="24"/>
              </w:rPr>
            </w:pPr>
            <w:r w:rsidRPr="0020409D">
              <w:rPr>
                <w:szCs w:val="24"/>
              </w:rPr>
              <w:t>Documents reviewed included policy and procedure manuals, websites, organizational charts, insurance waivers, safety inspections, acknowledgment of risk forms, departmental emergency action plans, meeting minutes, agreement for minor’s participation in activities,  third party reports, evaluations, response protocols, loss prevention applications, safety equipment quotes and prior external audit reports.</w:t>
            </w:r>
          </w:p>
        </w:tc>
        <w:tc>
          <w:tcPr>
            <w:tcW w:w="1525" w:type="dxa"/>
          </w:tcPr>
          <w:p w14:paraId="20AD3C65" w14:textId="77777777" w:rsidR="00FE2543" w:rsidRPr="00E417D1" w:rsidRDefault="00FE2543" w:rsidP="00E420EE">
            <w:pPr>
              <w:rPr>
                <w:highlight w:val="yellow"/>
              </w:rPr>
            </w:pPr>
            <w:r>
              <w:rPr>
                <w:rFonts w:cs="Times New Roman"/>
                <w:color w:val="000000"/>
              </w:rPr>
              <w:t>Report Status:  Preliminary audit report in development.</w:t>
            </w:r>
          </w:p>
        </w:tc>
      </w:tr>
      <w:tr w:rsidR="00FE2543" w:rsidRPr="00897CA8" w14:paraId="4EA6DECE" w14:textId="77777777" w:rsidTr="00FE2543">
        <w:trPr>
          <w:trHeight w:val="278"/>
        </w:trPr>
        <w:tc>
          <w:tcPr>
            <w:tcW w:w="1132" w:type="dxa"/>
          </w:tcPr>
          <w:p w14:paraId="75AD8F5F" w14:textId="77777777" w:rsidR="00AB680C" w:rsidRDefault="00FE2543" w:rsidP="00FE2543">
            <w:pPr>
              <w:jc w:val="center"/>
            </w:pPr>
            <w:r>
              <w:t xml:space="preserve">UAA </w:t>
            </w:r>
          </w:p>
          <w:p w14:paraId="6A0FDD17" w14:textId="1E62157E" w:rsidR="00FE2543" w:rsidRDefault="00FE2543" w:rsidP="00FE2543">
            <w:pPr>
              <w:jc w:val="center"/>
            </w:pPr>
            <w:r>
              <w:t>and UAF</w:t>
            </w:r>
          </w:p>
        </w:tc>
        <w:tc>
          <w:tcPr>
            <w:tcW w:w="2136" w:type="dxa"/>
          </w:tcPr>
          <w:p w14:paraId="7DA19E68" w14:textId="77777777" w:rsidR="00FE2543" w:rsidRDefault="00FE2543" w:rsidP="00E420EE">
            <w:r>
              <w:t>Contract Compliance</w:t>
            </w:r>
          </w:p>
        </w:tc>
        <w:tc>
          <w:tcPr>
            <w:tcW w:w="4557" w:type="dxa"/>
          </w:tcPr>
          <w:p w14:paraId="3C4700EE" w14:textId="77777777" w:rsidR="00FE2543" w:rsidRDefault="00FE2543" w:rsidP="00E420EE">
            <w:r>
              <w:t>Interviews were conducted with the chief procurement officer, leadership and staff members related to the following contracts:</w:t>
            </w:r>
          </w:p>
          <w:p w14:paraId="0AFB7BC3" w14:textId="77777777" w:rsidR="00FE2543" w:rsidRDefault="00FE2543" w:rsidP="00FE2543">
            <w:pPr>
              <w:numPr>
                <w:ilvl w:val="0"/>
                <w:numId w:val="41"/>
              </w:numPr>
              <w:spacing w:after="120"/>
            </w:pPr>
            <w:r>
              <w:t>UAF</w:t>
            </w:r>
          </w:p>
          <w:p w14:paraId="6CC79E63" w14:textId="77777777" w:rsidR="00FE2543" w:rsidRDefault="00FE2543" w:rsidP="00FE2543">
            <w:pPr>
              <w:numPr>
                <w:ilvl w:val="1"/>
                <w:numId w:val="41"/>
              </w:numPr>
              <w:spacing w:after="120"/>
            </w:pPr>
            <w:r>
              <w:t>Chartwells Dining Services contract</w:t>
            </w:r>
          </w:p>
          <w:p w14:paraId="41141ECC" w14:textId="77777777" w:rsidR="00FE2543" w:rsidRDefault="00FE2543" w:rsidP="00FE2543">
            <w:pPr>
              <w:numPr>
                <w:ilvl w:val="1"/>
                <w:numId w:val="41"/>
              </w:numPr>
              <w:spacing w:after="120"/>
            </w:pPr>
            <w:r>
              <w:lastRenderedPageBreak/>
              <w:t>Follett Higher Education Group contract</w:t>
            </w:r>
          </w:p>
          <w:p w14:paraId="3BEE4210" w14:textId="77777777" w:rsidR="00FE2543" w:rsidRDefault="00FE2543" w:rsidP="00FE2543">
            <w:pPr>
              <w:numPr>
                <w:ilvl w:val="0"/>
                <w:numId w:val="41"/>
              </w:numPr>
              <w:spacing w:after="120"/>
            </w:pPr>
            <w:r>
              <w:t>UAA</w:t>
            </w:r>
          </w:p>
          <w:p w14:paraId="3E69445E" w14:textId="77777777" w:rsidR="00FE2543" w:rsidRDefault="00FE2543" w:rsidP="00FE2543">
            <w:pPr>
              <w:numPr>
                <w:ilvl w:val="1"/>
                <w:numId w:val="41"/>
              </w:numPr>
              <w:spacing w:after="120"/>
            </w:pPr>
            <w:r>
              <w:t>NMS, LLC AAC addendum</w:t>
            </w:r>
          </w:p>
          <w:p w14:paraId="67709AD8" w14:textId="77777777" w:rsidR="00FE2543" w:rsidRDefault="00FE2543" w:rsidP="00FE2543">
            <w:pPr>
              <w:numPr>
                <w:ilvl w:val="1"/>
                <w:numId w:val="41"/>
              </w:numPr>
              <w:spacing w:after="120"/>
            </w:pPr>
            <w:r>
              <w:t>Global Spectrum, L.P.</w:t>
            </w:r>
          </w:p>
          <w:p w14:paraId="65F1425C" w14:textId="77777777" w:rsidR="00FE2543" w:rsidRDefault="00FE2543" w:rsidP="00E420EE">
            <w:pPr>
              <w:rPr>
                <w:highlight w:val="yellow"/>
              </w:rPr>
            </w:pPr>
            <w:r>
              <w:t>Contract documents, modifications and addendum were reviewed, as well as purchase orders and certificates of insurance.  A randomly chosen sample of invoices was reviewed for the UAF Chartwells Dining Services and the UAA Global Spectrum contracts.   Data and documentation supporting the commission statements which Follett provided to UAF was reviewed.</w:t>
            </w:r>
          </w:p>
        </w:tc>
        <w:tc>
          <w:tcPr>
            <w:tcW w:w="1525" w:type="dxa"/>
          </w:tcPr>
          <w:p w14:paraId="738BA0DB" w14:textId="77777777" w:rsidR="00FE2543" w:rsidRDefault="00FE2543" w:rsidP="00E420EE">
            <w:pPr>
              <w:rPr>
                <w:highlight w:val="yellow"/>
              </w:rPr>
            </w:pPr>
            <w:r>
              <w:rPr>
                <w:rFonts w:cs="Times New Roman"/>
                <w:color w:val="000000"/>
              </w:rPr>
              <w:lastRenderedPageBreak/>
              <w:t>Report Status:  Preliminary audit report in development.</w:t>
            </w:r>
          </w:p>
        </w:tc>
      </w:tr>
      <w:tr w:rsidR="00FE2543" w:rsidRPr="00897CA8" w14:paraId="70C1536D" w14:textId="77777777" w:rsidTr="00FE2543">
        <w:trPr>
          <w:trHeight w:val="278"/>
        </w:trPr>
        <w:tc>
          <w:tcPr>
            <w:tcW w:w="1132" w:type="dxa"/>
          </w:tcPr>
          <w:p w14:paraId="72BE5861" w14:textId="77777777" w:rsidR="00FE2543" w:rsidRDefault="00FE2543" w:rsidP="00FE2543">
            <w:pPr>
              <w:jc w:val="center"/>
            </w:pPr>
            <w:r>
              <w:t>UAA</w:t>
            </w:r>
          </w:p>
        </w:tc>
        <w:tc>
          <w:tcPr>
            <w:tcW w:w="2136" w:type="dxa"/>
          </w:tcPr>
          <w:p w14:paraId="0B516F63" w14:textId="77777777" w:rsidR="00FE2543" w:rsidRDefault="00FE2543" w:rsidP="00E420EE">
            <w:r>
              <w:t>College of Education Human Resources and Payroll</w:t>
            </w:r>
          </w:p>
        </w:tc>
        <w:tc>
          <w:tcPr>
            <w:tcW w:w="4557" w:type="dxa"/>
          </w:tcPr>
          <w:p w14:paraId="4E2ADD0A" w14:textId="77777777" w:rsidR="00FE2543" w:rsidRDefault="00FE2543" w:rsidP="00E420EE">
            <w:pPr>
              <w:rPr>
                <w:szCs w:val="24"/>
              </w:rPr>
            </w:pPr>
            <w:r w:rsidRPr="00D5520A">
              <w:rPr>
                <w:szCs w:val="24"/>
              </w:rPr>
              <w:t xml:space="preserve">The </w:t>
            </w:r>
            <w:r>
              <w:rPr>
                <w:szCs w:val="24"/>
              </w:rPr>
              <w:t xml:space="preserve">HR and payroll </w:t>
            </w:r>
            <w:r w:rsidRPr="00D5520A">
              <w:rPr>
                <w:szCs w:val="24"/>
              </w:rPr>
              <w:t xml:space="preserve">documentation </w:t>
            </w:r>
            <w:r>
              <w:rPr>
                <w:szCs w:val="24"/>
              </w:rPr>
              <w:t xml:space="preserve">for the academic terms Summer 2015 through Fall 2016 </w:t>
            </w:r>
            <w:r w:rsidRPr="00D5520A">
              <w:rPr>
                <w:szCs w:val="24"/>
              </w:rPr>
              <w:t>was reviewed for a selection of fourteen faculty and adjunct instructors</w:t>
            </w:r>
            <w:r>
              <w:rPr>
                <w:szCs w:val="24"/>
              </w:rPr>
              <w:t>.</w:t>
            </w:r>
          </w:p>
          <w:p w14:paraId="5D6EABB0" w14:textId="77777777" w:rsidR="00FE2543" w:rsidRPr="00E47C75" w:rsidRDefault="00FE2543" w:rsidP="00E420EE">
            <w:pPr>
              <w:rPr>
                <w:szCs w:val="24"/>
              </w:rPr>
            </w:pPr>
            <w:r w:rsidRPr="00D5520A">
              <w:rPr>
                <w:szCs w:val="24"/>
              </w:rPr>
              <w:t xml:space="preserve">Internal control questionnaires were performed with the assistant to the dean, fiscal manager, and fiscal professional to gain an understanding of the processes and key controls.  Processes and controls were also reviewed with the Office of Academic Affairs </w:t>
            </w:r>
            <w:r>
              <w:rPr>
                <w:szCs w:val="24"/>
              </w:rPr>
              <w:t xml:space="preserve">(OAA) </w:t>
            </w:r>
            <w:r w:rsidRPr="00D5520A">
              <w:rPr>
                <w:szCs w:val="24"/>
              </w:rPr>
              <w:t>to assure that a thorough understanding of University expectations and bargaining unit requirements was obtained.  Process flow charts were developed and discussed wit</w:t>
            </w:r>
            <w:r>
              <w:rPr>
                <w:szCs w:val="24"/>
              </w:rPr>
              <w:t>h the College.</w:t>
            </w:r>
          </w:p>
        </w:tc>
        <w:tc>
          <w:tcPr>
            <w:tcW w:w="1525" w:type="dxa"/>
          </w:tcPr>
          <w:p w14:paraId="79BD5DB8" w14:textId="77777777" w:rsidR="00FE2543" w:rsidRDefault="00FE2543" w:rsidP="00E420EE">
            <w:pPr>
              <w:rPr>
                <w:highlight w:val="yellow"/>
              </w:rPr>
            </w:pPr>
            <w:r>
              <w:rPr>
                <w:rFonts w:cs="Times New Roman"/>
                <w:color w:val="000000"/>
              </w:rPr>
              <w:t>Report Status:  Preliminary audit report awaiting formal response.</w:t>
            </w:r>
          </w:p>
        </w:tc>
      </w:tr>
      <w:tr w:rsidR="00FE2543" w:rsidRPr="00897CA8" w14:paraId="44961ECE" w14:textId="77777777" w:rsidTr="00FE2543">
        <w:trPr>
          <w:trHeight w:val="278"/>
        </w:trPr>
        <w:tc>
          <w:tcPr>
            <w:tcW w:w="1132" w:type="dxa"/>
          </w:tcPr>
          <w:p w14:paraId="43AA78E7" w14:textId="77777777" w:rsidR="00FE2543" w:rsidRDefault="00FE2543" w:rsidP="00FE2543">
            <w:pPr>
              <w:jc w:val="center"/>
            </w:pPr>
            <w:r>
              <w:t>SW</w:t>
            </w:r>
          </w:p>
        </w:tc>
        <w:tc>
          <w:tcPr>
            <w:tcW w:w="2136" w:type="dxa"/>
          </w:tcPr>
          <w:p w14:paraId="7DED1CF1" w14:textId="77777777" w:rsidR="00FE2543" w:rsidRDefault="00FE2543" w:rsidP="00E420EE">
            <w:r>
              <w:t>Pension Plan Fiduciary Oversight</w:t>
            </w:r>
          </w:p>
          <w:p w14:paraId="0C7C4064" w14:textId="77777777" w:rsidR="00FE2543" w:rsidRDefault="00FE2543" w:rsidP="00E420EE"/>
        </w:tc>
        <w:tc>
          <w:tcPr>
            <w:tcW w:w="4557" w:type="dxa"/>
          </w:tcPr>
          <w:p w14:paraId="15BEF31B" w14:textId="77777777" w:rsidR="00FE2543" w:rsidRDefault="00FE2543" w:rsidP="00E420EE">
            <w:pPr>
              <w:rPr>
                <w:highlight w:val="yellow"/>
              </w:rPr>
            </w:pPr>
            <w:r w:rsidRPr="00F907E1">
              <w:t>Reviewed with SW HR personnel the process for performing the fiduciary oversight responsibiliti</w:t>
            </w:r>
            <w:r>
              <w:t>es for the pension plan.  Discussed tentative recommendations with the Office of General Counsel and HR.</w:t>
            </w:r>
            <w:r w:rsidRPr="00F907E1">
              <w:t xml:space="preserve"> </w:t>
            </w:r>
          </w:p>
        </w:tc>
        <w:tc>
          <w:tcPr>
            <w:tcW w:w="1525" w:type="dxa"/>
          </w:tcPr>
          <w:p w14:paraId="5980FDD1" w14:textId="77777777" w:rsidR="00FE2543" w:rsidRDefault="00FE2543" w:rsidP="00E420EE">
            <w:pPr>
              <w:rPr>
                <w:highlight w:val="yellow"/>
              </w:rPr>
            </w:pPr>
            <w:r w:rsidRPr="00F907E1">
              <w:t>Report Status:  Memo for the CHRO is being developed.</w:t>
            </w:r>
          </w:p>
        </w:tc>
      </w:tr>
    </w:tbl>
    <w:p w14:paraId="68CE4705" w14:textId="54CFEA1F" w:rsidR="007C0E8E" w:rsidRDefault="007C0E8E">
      <w:pPr>
        <w:rPr>
          <w:rFonts w:asciiTheme="majorHAnsi" w:eastAsiaTheme="majorEastAsia" w:hAnsiTheme="majorHAnsi" w:cstheme="majorBidi"/>
          <w:color w:val="365F91" w:themeColor="accent1" w:themeShade="BF"/>
          <w:sz w:val="32"/>
          <w:szCs w:val="32"/>
        </w:rPr>
      </w:pPr>
    </w:p>
    <w:p w14:paraId="4C878B65" w14:textId="4C13D01B" w:rsidR="00410830" w:rsidRPr="00905963" w:rsidRDefault="00410830" w:rsidP="00905963">
      <w:pPr>
        <w:pStyle w:val="Heading1"/>
        <w:spacing w:after="240"/>
      </w:pPr>
      <w:bookmarkStart w:id="6" w:name="_Toc490488563"/>
      <w:r w:rsidRPr="00905963">
        <w:t>Final Status of the FY1</w:t>
      </w:r>
      <w:r w:rsidR="00685BC6">
        <w:t>7</w:t>
      </w:r>
      <w:r w:rsidRPr="00905963">
        <w:t xml:space="preserve"> Audit Plan</w:t>
      </w:r>
      <w:bookmarkEnd w:id="6"/>
    </w:p>
    <w:p w14:paraId="06FB6FD8" w14:textId="18D080B5" w:rsidR="00410830" w:rsidRDefault="00410830" w:rsidP="008B678F">
      <w:pPr>
        <w:spacing w:line="240" w:lineRule="auto"/>
      </w:pPr>
      <w:r>
        <w:t>The following outlines the status of planned activities for fiscal year 201</w:t>
      </w:r>
      <w:r w:rsidR="00685BC6">
        <w:t>7</w:t>
      </w:r>
      <w:r>
        <w:t>.  These activities were presented and approved</w:t>
      </w:r>
      <w:r w:rsidR="00185E4C">
        <w:t xml:space="preserve"> by the Board of Regents Audit Committee</w:t>
      </w:r>
      <w:r>
        <w:t xml:space="preserve"> in June 201</w:t>
      </w:r>
      <w:r w:rsidR="00685BC6">
        <w:t>6</w:t>
      </w:r>
      <w:r>
        <w:t>.</w:t>
      </w:r>
    </w:p>
    <w:tbl>
      <w:tblPr>
        <w:tblStyle w:val="TableGrid"/>
        <w:tblW w:w="0" w:type="auto"/>
        <w:tblLook w:val="04A0" w:firstRow="1" w:lastRow="0" w:firstColumn="1" w:lastColumn="0" w:noHBand="0" w:noVBand="1"/>
      </w:tblPr>
      <w:tblGrid>
        <w:gridCol w:w="3096"/>
        <w:gridCol w:w="6254"/>
      </w:tblGrid>
      <w:tr w:rsidR="00B047E7" w:rsidRPr="00B047E7" w14:paraId="1B0B6BB7" w14:textId="77777777" w:rsidTr="00E417D1">
        <w:tc>
          <w:tcPr>
            <w:tcW w:w="9576" w:type="dxa"/>
            <w:gridSpan w:val="2"/>
          </w:tcPr>
          <w:p w14:paraId="76FE7640" w14:textId="781B77D0" w:rsidR="00410830" w:rsidRPr="00D0217B" w:rsidRDefault="00410830" w:rsidP="00E417D1">
            <w:pPr>
              <w:jc w:val="center"/>
              <w:rPr>
                <w:rStyle w:val="IntenseEmphasis"/>
              </w:rPr>
            </w:pPr>
            <w:r w:rsidRPr="00D0217B">
              <w:rPr>
                <w:rStyle w:val="IntenseEmphasis"/>
              </w:rPr>
              <w:t>Status of FY1</w:t>
            </w:r>
            <w:r w:rsidR="00B01723">
              <w:rPr>
                <w:rStyle w:val="IntenseEmphasis"/>
              </w:rPr>
              <w:t>7</w:t>
            </w:r>
            <w:r w:rsidRPr="00D0217B">
              <w:rPr>
                <w:rStyle w:val="IntenseEmphasis"/>
              </w:rPr>
              <w:t xml:space="preserve"> Activities</w:t>
            </w:r>
          </w:p>
        </w:tc>
      </w:tr>
      <w:tr w:rsidR="00410830" w14:paraId="00DA74CE" w14:textId="77777777" w:rsidTr="00B047E7">
        <w:tc>
          <w:tcPr>
            <w:tcW w:w="3168" w:type="dxa"/>
          </w:tcPr>
          <w:p w14:paraId="203005B4" w14:textId="77777777" w:rsidR="00410830" w:rsidRDefault="0020724D" w:rsidP="008B678F">
            <w:r>
              <w:t>Scheduled Projects Completed</w:t>
            </w:r>
          </w:p>
        </w:tc>
        <w:tc>
          <w:tcPr>
            <w:tcW w:w="6408" w:type="dxa"/>
          </w:tcPr>
          <w:p w14:paraId="6D578309" w14:textId="63B8D955" w:rsidR="003B2278" w:rsidRDefault="003B2278" w:rsidP="008B678F">
            <w:pPr>
              <w:pStyle w:val="ListParagraph"/>
              <w:numPr>
                <w:ilvl w:val="0"/>
                <w:numId w:val="9"/>
              </w:numPr>
            </w:pPr>
            <w:r>
              <w:t>FYE1</w:t>
            </w:r>
            <w:r w:rsidR="00B01723">
              <w:t>6</w:t>
            </w:r>
            <w:r>
              <w:t xml:space="preserve"> External Audit</w:t>
            </w:r>
          </w:p>
          <w:p w14:paraId="514AD665" w14:textId="77777777" w:rsidR="00D13DAC" w:rsidRDefault="00D13DAC" w:rsidP="008B678F">
            <w:pPr>
              <w:pStyle w:val="ListParagraph"/>
              <w:numPr>
                <w:ilvl w:val="1"/>
                <w:numId w:val="9"/>
              </w:numPr>
            </w:pPr>
            <w:r>
              <w:t>Payroll</w:t>
            </w:r>
          </w:p>
          <w:p w14:paraId="3F0FD0B6" w14:textId="77777777" w:rsidR="003B2278" w:rsidRDefault="003B2278" w:rsidP="008B678F">
            <w:pPr>
              <w:pStyle w:val="ListParagraph"/>
              <w:numPr>
                <w:ilvl w:val="1"/>
                <w:numId w:val="9"/>
              </w:numPr>
            </w:pPr>
            <w:r>
              <w:t>Journal Entries</w:t>
            </w:r>
          </w:p>
          <w:p w14:paraId="5CC69ECC" w14:textId="77777777" w:rsidR="003B0C56" w:rsidRDefault="003B2278" w:rsidP="003B0C56">
            <w:pPr>
              <w:pStyle w:val="ListParagraph"/>
              <w:numPr>
                <w:ilvl w:val="1"/>
                <w:numId w:val="9"/>
              </w:numPr>
            </w:pPr>
            <w:r>
              <w:t>Disbursements</w:t>
            </w:r>
          </w:p>
          <w:p w14:paraId="4AC6D94B" w14:textId="77777777" w:rsidR="00E32925" w:rsidRDefault="001B5F12" w:rsidP="008B678F">
            <w:pPr>
              <w:pStyle w:val="ListParagraph"/>
              <w:numPr>
                <w:ilvl w:val="1"/>
                <w:numId w:val="9"/>
              </w:numPr>
            </w:pPr>
            <w:r>
              <w:lastRenderedPageBreak/>
              <w:t>Wires</w:t>
            </w:r>
          </w:p>
          <w:p w14:paraId="498ADC46" w14:textId="77777777" w:rsidR="00E32925" w:rsidRDefault="001B5F12" w:rsidP="001B5F12">
            <w:pPr>
              <w:pStyle w:val="ListParagraph"/>
              <w:numPr>
                <w:ilvl w:val="1"/>
                <w:numId w:val="9"/>
              </w:numPr>
            </w:pPr>
            <w:r>
              <w:t>Tuition and Fees</w:t>
            </w:r>
          </w:p>
          <w:p w14:paraId="6F3154F3" w14:textId="77777777" w:rsidR="00E32925" w:rsidRDefault="00E32925" w:rsidP="001B5F12">
            <w:pPr>
              <w:pStyle w:val="ListParagraph"/>
              <w:numPr>
                <w:ilvl w:val="1"/>
                <w:numId w:val="9"/>
              </w:numPr>
            </w:pPr>
            <w:r>
              <w:t>Procurement Card</w:t>
            </w:r>
          </w:p>
          <w:p w14:paraId="5294E137" w14:textId="77777777" w:rsidR="005D6AD4" w:rsidRDefault="005D6AD4" w:rsidP="001B5F12">
            <w:pPr>
              <w:pStyle w:val="ListParagraph"/>
              <w:numPr>
                <w:ilvl w:val="1"/>
                <w:numId w:val="9"/>
              </w:numPr>
            </w:pPr>
            <w:r>
              <w:t>Search for Unrecorded Liabilities</w:t>
            </w:r>
          </w:p>
          <w:p w14:paraId="3490ED66" w14:textId="77777777" w:rsidR="005D6AD4" w:rsidRDefault="005D6AD4" w:rsidP="001B5F12">
            <w:pPr>
              <w:pStyle w:val="ListParagraph"/>
              <w:numPr>
                <w:ilvl w:val="1"/>
                <w:numId w:val="9"/>
              </w:numPr>
            </w:pPr>
            <w:r>
              <w:t>Plant, Property and Equipment</w:t>
            </w:r>
          </w:p>
          <w:p w14:paraId="36F0238B" w14:textId="6B8ADDF4" w:rsidR="00974C16" w:rsidRDefault="00974C16" w:rsidP="008B678F">
            <w:pPr>
              <w:pStyle w:val="ListParagraph"/>
              <w:numPr>
                <w:ilvl w:val="0"/>
                <w:numId w:val="9"/>
              </w:numPr>
            </w:pPr>
            <w:r>
              <w:t>State of Alaska Executive Travel and Compensation Report</w:t>
            </w:r>
            <w:r w:rsidR="00504C87">
              <w:t xml:space="preserve"> </w:t>
            </w:r>
            <w:r w:rsidR="00C55097">
              <w:t xml:space="preserve">for </w:t>
            </w:r>
            <w:r w:rsidR="00504C87">
              <w:t>CY201</w:t>
            </w:r>
            <w:r w:rsidR="00B01723">
              <w:t>6</w:t>
            </w:r>
          </w:p>
          <w:p w14:paraId="5AFF0870" w14:textId="04F39459" w:rsidR="006B77CA" w:rsidRDefault="006B77CA" w:rsidP="008B678F">
            <w:pPr>
              <w:pStyle w:val="ListParagraph"/>
              <w:numPr>
                <w:ilvl w:val="0"/>
                <w:numId w:val="9"/>
              </w:numPr>
            </w:pPr>
            <w:r>
              <w:t>Cyber-resiliency IT Risk Management</w:t>
            </w:r>
          </w:p>
          <w:p w14:paraId="64D41417" w14:textId="77777777" w:rsidR="005D6AD4" w:rsidRDefault="006B77CA" w:rsidP="003B0C56">
            <w:pPr>
              <w:pStyle w:val="ListParagraph"/>
              <w:numPr>
                <w:ilvl w:val="0"/>
                <w:numId w:val="9"/>
              </w:numPr>
            </w:pPr>
            <w:r>
              <w:t>Pension Plan Fiduciary Oversight</w:t>
            </w:r>
          </w:p>
          <w:p w14:paraId="3713AEC4" w14:textId="77777777" w:rsidR="00400D8E" w:rsidRDefault="00400D8E" w:rsidP="003B0C56">
            <w:pPr>
              <w:pStyle w:val="ListParagraph"/>
              <w:numPr>
                <w:ilvl w:val="0"/>
                <w:numId w:val="9"/>
              </w:numPr>
            </w:pPr>
            <w:r>
              <w:t>Departmental Risk Management</w:t>
            </w:r>
          </w:p>
          <w:p w14:paraId="1695834A" w14:textId="722B606D" w:rsidR="003B2702" w:rsidRDefault="00400D8E" w:rsidP="00CA3D5C">
            <w:pPr>
              <w:pStyle w:val="ListParagraph"/>
              <w:numPr>
                <w:ilvl w:val="0"/>
                <w:numId w:val="9"/>
              </w:numPr>
            </w:pPr>
            <w:r w:rsidRPr="00CA3D5C">
              <w:t>Contract Compliance</w:t>
            </w:r>
          </w:p>
        </w:tc>
      </w:tr>
      <w:tr w:rsidR="00410830" w14:paraId="1273D77D" w14:textId="77777777" w:rsidTr="00B047E7">
        <w:tc>
          <w:tcPr>
            <w:tcW w:w="3168" w:type="dxa"/>
          </w:tcPr>
          <w:p w14:paraId="57BFC688" w14:textId="09246B13" w:rsidR="00410830" w:rsidRDefault="00B047E7" w:rsidP="008B678F">
            <w:r>
              <w:lastRenderedPageBreak/>
              <w:t>Added Projects Completed</w:t>
            </w:r>
          </w:p>
        </w:tc>
        <w:tc>
          <w:tcPr>
            <w:tcW w:w="6408" w:type="dxa"/>
          </w:tcPr>
          <w:p w14:paraId="0F8EBDC7" w14:textId="3560117D" w:rsidR="00AA5D81" w:rsidRDefault="00D12FC9" w:rsidP="00474ADB">
            <w:pPr>
              <w:pStyle w:val="ListParagraph"/>
              <w:numPr>
                <w:ilvl w:val="0"/>
                <w:numId w:val="10"/>
              </w:numPr>
            </w:pPr>
            <w:r>
              <w:t>Investigations</w:t>
            </w:r>
          </w:p>
          <w:p w14:paraId="630D5B48" w14:textId="72132B8B" w:rsidR="006B77CA" w:rsidRPr="00185E4C" w:rsidRDefault="006B77CA" w:rsidP="00474ADB">
            <w:pPr>
              <w:pStyle w:val="ListParagraph"/>
              <w:numPr>
                <w:ilvl w:val="0"/>
                <w:numId w:val="10"/>
              </w:numPr>
            </w:pPr>
            <w:r>
              <w:t>UAA College of Education Human Resources and Payroll</w:t>
            </w:r>
          </w:p>
        </w:tc>
      </w:tr>
      <w:tr w:rsidR="00455DBD" w14:paraId="2127CA16" w14:textId="77777777" w:rsidTr="00B047E7">
        <w:tc>
          <w:tcPr>
            <w:tcW w:w="3168" w:type="dxa"/>
          </w:tcPr>
          <w:p w14:paraId="011E9355" w14:textId="77777777" w:rsidR="00455DBD" w:rsidRDefault="00455DBD" w:rsidP="008B678F">
            <w:r>
              <w:t>Projects Completed from Prior Years</w:t>
            </w:r>
          </w:p>
        </w:tc>
        <w:tc>
          <w:tcPr>
            <w:tcW w:w="6408" w:type="dxa"/>
          </w:tcPr>
          <w:p w14:paraId="58A08554" w14:textId="097FE3B1" w:rsidR="00F249AE" w:rsidRDefault="00235D75" w:rsidP="006B77CA">
            <w:pPr>
              <w:pStyle w:val="ListParagraph"/>
              <w:numPr>
                <w:ilvl w:val="0"/>
                <w:numId w:val="11"/>
              </w:numPr>
            </w:pPr>
            <w:r>
              <w:t xml:space="preserve">System-wide </w:t>
            </w:r>
            <w:r w:rsidR="006B77CA">
              <w:t>Sponsored Programs Effort Certificatio</w:t>
            </w:r>
            <w:r w:rsidR="00685BC6">
              <w:t>n</w:t>
            </w:r>
          </w:p>
        </w:tc>
      </w:tr>
      <w:tr w:rsidR="00925BCA" w14:paraId="51B3475D" w14:textId="77777777" w:rsidTr="00B047E7">
        <w:tc>
          <w:tcPr>
            <w:tcW w:w="3168" w:type="dxa"/>
          </w:tcPr>
          <w:p w14:paraId="3F7F9CE0" w14:textId="65C58E54" w:rsidR="00925BCA" w:rsidRDefault="00925BCA" w:rsidP="008B678F">
            <w:r>
              <w:t>Project Incorporated into FY17</w:t>
            </w:r>
          </w:p>
        </w:tc>
        <w:tc>
          <w:tcPr>
            <w:tcW w:w="6408" w:type="dxa"/>
          </w:tcPr>
          <w:p w14:paraId="1DB20695" w14:textId="292742FE" w:rsidR="004474BC" w:rsidRDefault="00400D8E" w:rsidP="00D03287">
            <w:pPr>
              <w:pStyle w:val="ListParagraph"/>
              <w:numPr>
                <w:ilvl w:val="0"/>
                <w:numId w:val="11"/>
              </w:numPr>
            </w:pPr>
            <w:r>
              <w:t>External Audit of HIPAA Compliance</w:t>
            </w:r>
          </w:p>
        </w:tc>
      </w:tr>
      <w:tr w:rsidR="00410830" w14:paraId="5400A187" w14:textId="77777777" w:rsidTr="00B047E7">
        <w:tc>
          <w:tcPr>
            <w:tcW w:w="3168" w:type="dxa"/>
          </w:tcPr>
          <w:p w14:paraId="0E8072A1" w14:textId="0142BCC1" w:rsidR="00410830" w:rsidRDefault="0052049E" w:rsidP="008B678F">
            <w:r>
              <w:t>Projects Deferred</w:t>
            </w:r>
            <w:r>
              <w:rPr>
                <w:rStyle w:val="FootnoteReference"/>
              </w:rPr>
              <w:footnoteReference w:id="1"/>
            </w:r>
          </w:p>
        </w:tc>
        <w:tc>
          <w:tcPr>
            <w:tcW w:w="6408" w:type="dxa"/>
          </w:tcPr>
          <w:p w14:paraId="123404F3" w14:textId="5674C640" w:rsidR="003B2702" w:rsidRDefault="00685BC6" w:rsidP="003B2702">
            <w:pPr>
              <w:pStyle w:val="ListParagraph"/>
              <w:numPr>
                <w:ilvl w:val="0"/>
                <w:numId w:val="12"/>
              </w:numPr>
            </w:pPr>
            <w:r>
              <w:t>Clery Act</w:t>
            </w:r>
            <w:r w:rsidR="00AD2C05">
              <w:t xml:space="preserve"> (</w:t>
            </w:r>
            <w:r w:rsidR="003B2702">
              <w:t>FY18)</w:t>
            </w:r>
          </w:p>
          <w:p w14:paraId="4DAF87A7" w14:textId="77777777" w:rsidR="0052049E" w:rsidRDefault="0052049E" w:rsidP="003B2702">
            <w:pPr>
              <w:pStyle w:val="ListParagraph"/>
              <w:numPr>
                <w:ilvl w:val="0"/>
                <w:numId w:val="12"/>
              </w:numPr>
            </w:pPr>
            <w:r>
              <w:t>Protection of Minors (FY19)</w:t>
            </w:r>
          </w:p>
          <w:p w14:paraId="649357EC" w14:textId="77777777" w:rsidR="0052049E" w:rsidRDefault="0052049E" w:rsidP="003B2702">
            <w:pPr>
              <w:pStyle w:val="ListParagraph"/>
              <w:numPr>
                <w:ilvl w:val="0"/>
                <w:numId w:val="12"/>
              </w:numPr>
            </w:pPr>
            <w:r>
              <w:t>Enrollment (Strategic Pathways)</w:t>
            </w:r>
          </w:p>
          <w:p w14:paraId="515B4248" w14:textId="77777777" w:rsidR="0052049E" w:rsidRDefault="0052049E" w:rsidP="003B2702">
            <w:pPr>
              <w:pStyle w:val="ListParagraph"/>
              <w:numPr>
                <w:ilvl w:val="0"/>
                <w:numId w:val="12"/>
              </w:numPr>
            </w:pPr>
            <w:r>
              <w:t>Disability Support Services</w:t>
            </w:r>
          </w:p>
          <w:p w14:paraId="7456260E" w14:textId="77777777" w:rsidR="0052049E" w:rsidRDefault="0052049E" w:rsidP="003B2702">
            <w:pPr>
              <w:pStyle w:val="ListParagraph"/>
              <w:numPr>
                <w:ilvl w:val="0"/>
                <w:numId w:val="12"/>
              </w:numPr>
            </w:pPr>
            <w:r>
              <w:t>Fleet Management</w:t>
            </w:r>
          </w:p>
          <w:p w14:paraId="17C9B354" w14:textId="30FF4A70" w:rsidR="0052049E" w:rsidRDefault="0052049E" w:rsidP="003B2702">
            <w:pPr>
              <w:pStyle w:val="ListParagraph"/>
              <w:numPr>
                <w:ilvl w:val="0"/>
                <w:numId w:val="12"/>
              </w:numPr>
            </w:pPr>
            <w:r>
              <w:t>IT Controls Management (replaced by external HIPAA audit)</w:t>
            </w:r>
          </w:p>
          <w:p w14:paraId="361B650E" w14:textId="014A3B18" w:rsidR="0052049E" w:rsidRDefault="0052049E" w:rsidP="003B2702">
            <w:pPr>
              <w:pStyle w:val="ListParagraph"/>
              <w:numPr>
                <w:ilvl w:val="0"/>
                <w:numId w:val="12"/>
              </w:numPr>
            </w:pPr>
            <w:r>
              <w:t>IT Governance:  Data and Reporting (Strategic Pathways)</w:t>
            </w:r>
          </w:p>
        </w:tc>
      </w:tr>
      <w:tr w:rsidR="00410830" w14:paraId="718A1AF1" w14:textId="77777777" w:rsidTr="00B047E7">
        <w:tc>
          <w:tcPr>
            <w:tcW w:w="3168" w:type="dxa"/>
          </w:tcPr>
          <w:p w14:paraId="374190E9" w14:textId="27FED994" w:rsidR="00410830" w:rsidRDefault="00B047E7" w:rsidP="008B678F">
            <w:r>
              <w:t>Other Activities</w:t>
            </w:r>
          </w:p>
        </w:tc>
        <w:tc>
          <w:tcPr>
            <w:tcW w:w="6408" w:type="dxa"/>
          </w:tcPr>
          <w:p w14:paraId="6960FE74" w14:textId="77777777" w:rsidR="00C77411" w:rsidRDefault="00C77411" w:rsidP="00F145CA">
            <w:pPr>
              <w:pStyle w:val="ListParagraph"/>
              <w:numPr>
                <w:ilvl w:val="0"/>
                <w:numId w:val="13"/>
              </w:numPr>
            </w:pPr>
            <w:r>
              <w:t>Follow-up Auditing</w:t>
            </w:r>
          </w:p>
          <w:p w14:paraId="490E90BE" w14:textId="77777777" w:rsidR="00C77411" w:rsidRDefault="00C77411" w:rsidP="00F145CA">
            <w:pPr>
              <w:pStyle w:val="ListParagraph"/>
              <w:numPr>
                <w:ilvl w:val="0"/>
                <w:numId w:val="13"/>
              </w:numPr>
            </w:pPr>
            <w:r>
              <w:t>Continuous Controls Auditing</w:t>
            </w:r>
          </w:p>
          <w:p w14:paraId="4ED39261" w14:textId="1F80D192" w:rsidR="00E330AA" w:rsidRDefault="005E53EE" w:rsidP="00F145CA">
            <w:pPr>
              <w:pStyle w:val="ListParagraph"/>
              <w:numPr>
                <w:ilvl w:val="0"/>
                <w:numId w:val="13"/>
              </w:numPr>
            </w:pPr>
            <w:r>
              <w:t>Tracke</w:t>
            </w:r>
            <w:r w:rsidR="00B31EAA">
              <w:t xml:space="preserve">d </w:t>
            </w:r>
            <w:r w:rsidR="00F145CA">
              <w:t>19</w:t>
            </w:r>
            <w:r>
              <w:t xml:space="preserve"> </w:t>
            </w:r>
            <w:r w:rsidR="00B31EAA">
              <w:t>external audits</w:t>
            </w:r>
            <w:r w:rsidR="00BE2E43">
              <w:t xml:space="preserve"> </w:t>
            </w:r>
            <w:r w:rsidR="002E1D2B">
              <w:t>with some still in progress</w:t>
            </w:r>
          </w:p>
          <w:p w14:paraId="5638A466" w14:textId="77777777" w:rsidR="00B370D7" w:rsidRDefault="00B370D7" w:rsidP="00B370D7">
            <w:pPr>
              <w:pStyle w:val="ListParagraph"/>
              <w:numPr>
                <w:ilvl w:val="0"/>
                <w:numId w:val="13"/>
              </w:numPr>
            </w:pPr>
            <w:r>
              <w:t>UA Confidential Hotline - System-wide administration</w:t>
            </w:r>
          </w:p>
          <w:p w14:paraId="4869CBE4" w14:textId="77777777" w:rsidR="00B370D7" w:rsidRDefault="00455DBD" w:rsidP="00F145CA">
            <w:pPr>
              <w:pStyle w:val="ListParagraph"/>
              <w:numPr>
                <w:ilvl w:val="0"/>
                <w:numId w:val="13"/>
              </w:numPr>
            </w:pPr>
            <w:r>
              <w:t>P</w:t>
            </w:r>
            <w:r w:rsidR="00974C16">
              <w:t>articipated</w:t>
            </w:r>
            <w:r w:rsidR="001467D9">
              <w:t xml:space="preserve"> </w:t>
            </w:r>
            <w:r w:rsidR="00EE6F88">
              <w:t>in</w:t>
            </w:r>
            <w:r w:rsidR="00B370D7">
              <w:t>:</w:t>
            </w:r>
          </w:p>
          <w:p w14:paraId="25A36669" w14:textId="7E7EB53C" w:rsidR="00455DBD" w:rsidRDefault="00F10632" w:rsidP="00B370D7">
            <w:pPr>
              <w:pStyle w:val="ListParagraph"/>
              <w:numPr>
                <w:ilvl w:val="1"/>
                <w:numId w:val="13"/>
              </w:numPr>
            </w:pPr>
            <w:r>
              <w:t>Payment Card Industry (PCI) Work Group</w:t>
            </w:r>
          </w:p>
          <w:p w14:paraId="089C9574" w14:textId="5DFBAAD8" w:rsidR="00F10632" w:rsidRDefault="00F10632" w:rsidP="00B370D7">
            <w:pPr>
              <w:pStyle w:val="ListParagraph"/>
              <w:numPr>
                <w:ilvl w:val="1"/>
                <w:numId w:val="13"/>
              </w:numPr>
            </w:pPr>
            <w:r>
              <w:t>Computer Incident Response Team (CIRT)</w:t>
            </w:r>
          </w:p>
          <w:p w14:paraId="1AD5F79D" w14:textId="2BAC83D7" w:rsidR="00B370D7" w:rsidRDefault="00B370D7" w:rsidP="00B370D7">
            <w:pPr>
              <w:pStyle w:val="ListParagraph"/>
              <w:numPr>
                <w:ilvl w:val="1"/>
                <w:numId w:val="13"/>
              </w:numPr>
            </w:pPr>
            <w:r>
              <w:t>Travel System Replacement</w:t>
            </w:r>
          </w:p>
          <w:p w14:paraId="5DF4B422" w14:textId="77777777" w:rsidR="00B370D7" w:rsidRDefault="00B370D7" w:rsidP="00B370D7">
            <w:pPr>
              <w:pStyle w:val="ListParagraph"/>
              <w:numPr>
                <w:ilvl w:val="1"/>
                <w:numId w:val="13"/>
              </w:numPr>
            </w:pPr>
            <w:r>
              <w:t>Strategic Pathways - Finance</w:t>
            </w:r>
          </w:p>
          <w:p w14:paraId="6EEC5DD6" w14:textId="7CD8BE78" w:rsidR="00281B7B" w:rsidRDefault="00281B7B" w:rsidP="00F145CA">
            <w:pPr>
              <w:pStyle w:val="ListParagraph"/>
              <w:numPr>
                <w:ilvl w:val="0"/>
                <w:numId w:val="13"/>
              </w:numPr>
            </w:pPr>
            <w:r>
              <w:t>Advisory:</w:t>
            </w:r>
          </w:p>
          <w:p w14:paraId="68216B71" w14:textId="77777777" w:rsidR="00F145CA" w:rsidRDefault="00F145CA" w:rsidP="00281B7B">
            <w:pPr>
              <w:pStyle w:val="ListParagraph"/>
              <w:numPr>
                <w:ilvl w:val="1"/>
                <w:numId w:val="13"/>
              </w:numPr>
            </w:pPr>
            <w:r>
              <w:t>Disbursements Segregation of Duties</w:t>
            </w:r>
          </w:p>
          <w:p w14:paraId="6523C39C" w14:textId="77777777" w:rsidR="00F145CA" w:rsidRDefault="00F145CA" w:rsidP="00281B7B">
            <w:pPr>
              <w:pStyle w:val="ListParagraph"/>
              <w:numPr>
                <w:ilvl w:val="1"/>
                <w:numId w:val="13"/>
              </w:numPr>
            </w:pPr>
            <w:r>
              <w:t>Wires Process Segregation of Duties and Flowchart</w:t>
            </w:r>
          </w:p>
          <w:p w14:paraId="6241C77D" w14:textId="2FB4AAB6" w:rsidR="00D03287" w:rsidRDefault="00D03287" w:rsidP="00281B7B">
            <w:pPr>
              <w:pStyle w:val="ListParagraph"/>
              <w:numPr>
                <w:ilvl w:val="1"/>
                <w:numId w:val="13"/>
              </w:numPr>
            </w:pPr>
            <w:r>
              <w:t>Google Docs HIPAA Compliance</w:t>
            </w:r>
          </w:p>
          <w:p w14:paraId="281437A7" w14:textId="77777777" w:rsidR="00F145CA" w:rsidRDefault="00F145CA" w:rsidP="00281B7B">
            <w:pPr>
              <w:pStyle w:val="ListParagraph"/>
              <w:numPr>
                <w:ilvl w:val="1"/>
                <w:numId w:val="13"/>
              </w:numPr>
            </w:pPr>
            <w:r>
              <w:t>Bank Reconciliation Process and Controls Overview</w:t>
            </w:r>
          </w:p>
          <w:p w14:paraId="7A1E254E" w14:textId="00418E15" w:rsidR="00F145CA" w:rsidRPr="00455DBD" w:rsidRDefault="00F145CA" w:rsidP="00281B7B">
            <w:pPr>
              <w:pStyle w:val="ListParagraph"/>
              <w:numPr>
                <w:ilvl w:val="1"/>
                <w:numId w:val="13"/>
              </w:numPr>
            </w:pPr>
            <w:r>
              <w:t>Gramm-Leach-Bliley Act Compliance</w:t>
            </w:r>
          </w:p>
        </w:tc>
      </w:tr>
      <w:tr w:rsidR="00CF403D" w14:paraId="7620E7FB" w14:textId="77777777" w:rsidTr="00B047E7">
        <w:tc>
          <w:tcPr>
            <w:tcW w:w="3168" w:type="dxa"/>
          </w:tcPr>
          <w:p w14:paraId="5A388842" w14:textId="2117194B" w:rsidR="00CF403D" w:rsidRPr="000F41A4" w:rsidRDefault="00994D8F" w:rsidP="000F41A4">
            <w:r>
              <w:t>In Progress</w:t>
            </w:r>
          </w:p>
        </w:tc>
        <w:tc>
          <w:tcPr>
            <w:tcW w:w="6408" w:type="dxa"/>
          </w:tcPr>
          <w:p w14:paraId="387C009C" w14:textId="7775812D" w:rsidR="006B77CA" w:rsidRDefault="00FE1F87" w:rsidP="00577C79">
            <w:pPr>
              <w:pStyle w:val="ListParagraph"/>
              <w:numPr>
                <w:ilvl w:val="0"/>
                <w:numId w:val="14"/>
              </w:numPr>
            </w:pPr>
            <w:r>
              <w:t>Attorney-Client Privileged Audits (2)</w:t>
            </w:r>
          </w:p>
          <w:p w14:paraId="5275F65A" w14:textId="77777777" w:rsidR="00577C79" w:rsidRDefault="00577C79" w:rsidP="00577C79">
            <w:pPr>
              <w:pStyle w:val="ListParagraph"/>
              <w:numPr>
                <w:ilvl w:val="0"/>
                <w:numId w:val="14"/>
              </w:numPr>
            </w:pPr>
            <w:r>
              <w:t>Business Continuity/Disaster Recovery</w:t>
            </w:r>
          </w:p>
          <w:p w14:paraId="2D26D2E0" w14:textId="77777777" w:rsidR="006B77CA" w:rsidRDefault="006B77CA" w:rsidP="00577C79">
            <w:pPr>
              <w:pStyle w:val="ListParagraph"/>
              <w:numPr>
                <w:ilvl w:val="0"/>
                <w:numId w:val="14"/>
              </w:numPr>
            </w:pPr>
            <w:r>
              <w:t>Fraud Risk Assessment for Procurement and Accounts Payable</w:t>
            </w:r>
          </w:p>
          <w:p w14:paraId="60DF6B36" w14:textId="4574A029" w:rsidR="006B6A92" w:rsidRDefault="006B6A92" w:rsidP="00577C79">
            <w:pPr>
              <w:pStyle w:val="ListParagraph"/>
              <w:numPr>
                <w:ilvl w:val="0"/>
                <w:numId w:val="14"/>
              </w:numPr>
            </w:pPr>
            <w:r w:rsidRPr="00CA3D5C">
              <w:t>Management Reporting</w:t>
            </w:r>
          </w:p>
        </w:tc>
      </w:tr>
    </w:tbl>
    <w:p w14:paraId="62277B67" w14:textId="4A88D126" w:rsidR="007228DD" w:rsidRPr="00905963" w:rsidRDefault="006D2D01" w:rsidP="006A32E9">
      <w:pPr>
        <w:pStyle w:val="Heading1"/>
        <w:spacing w:after="240"/>
      </w:pPr>
      <w:r>
        <w:rPr>
          <w:b/>
          <w:color w:val="0070C0"/>
          <w:sz w:val="24"/>
          <w:szCs w:val="24"/>
          <w:u w:val="single"/>
        </w:rPr>
        <w:br w:type="page"/>
      </w:r>
      <w:bookmarkStart w:id="7" w:name="_Toc490488564"/>
      <w:r w:rsidR="00335E8E">
        <w:lastRenderedPageBreak/>
        <w:t>201</w:t>
      </w:r>
      <w:r w:rsidR="003459B5">
        <w:t>7</w:t>
      </w:r>
      <w:r w:rsidR="007228DD" w:rsidRPr="00905963">
        <w:t xml:space="preserve"> Fiscal Year Goals and Accomplishments</w:t>
      </w:r>
      <w:bookmarkEnd w:id="7"/>
    </w:p>
    <w:p w14:paraId="1FB6158E" w14:textId="77777777" w:rsidR="007228DD" w:rsidRPr="007228DD" w:rsidRDefault="007228DD" w:rsidP="00905963">
      <w:pPr>
        <w:spacing w:line="240" w:lineRule="auto"/>
        <w:rPr>
          <w:b/>
        </w:rPr>
      </w:pPr>
      <w:r w:rsidRPr="007228DD">
        <w:rPr>
          <w:b/>
        </w:rPr>
        <w:t>Audit and Consulting Services Mission Statement</w:t>
      </w:r>
    </w:p>
    <w:p w14:paraId="2765BB15" w14:textId="77777777" w:rsidR="00393F87" w:rsidRPr="00393F87" w:rsidRDefault="00393F87" w:rsidP="00905963">
      <w:pPr>
        <w:spacing w:line="240" w:lineRule="auto"/>
        <w:rPr>
          <w:i/>
        </w:rPr>
      </w:pPr>
      <w:r w:rsidRPr="00393F87">
        <w:rPr>
          <w:i/>
        </w:rPr>
        <w:t>The mission of the audit and consulting services department is to assist the board and management in the effective discharge of their fiduciary and administrative responsibilities by providing analysis, appraisals, counsel, information and recommendations concerning activities reviewed and by promoting effective controls for the recording and reporting of operational activities and for the custody and safeguarding of assets.</w:t>
      </w:r>
    </w:p>
    <w:p w14:paraId="04C6EDF3" w14:textId="77777777" w:rsidR="0051402B" w:rsidRDefault="0051402B" w:rsidP="00905963">
      <w:pPr>
        <w:spacing w:line="240" w:lineRule="auto"/>
      </w:pPr>
      <w:r>
        <w:t xml:space="preserve">The </w:t>
      </w:r>
      <w:r w:rsidR="00393F87">
        <w:t xml:space="preserve">International </w:t>
      </w:r>
      <w:r>
        <w:t xml:space="preserve">Institute of Internal Auditors </w:t>
      </w:r>
      <w:r w:rsidR="003C1216">
        <w:t xml:space="preserve">(IIA) </w:t>
      </w:r>
      <w:r w:rsidR="00393F87" w:rsidRPr="00653117">
        <w:rPr>
          <w:u w:val="single"/>
        </w:rPr>
        <w:t>defines internal auditing</w:t>
      </w:r>
      <w:r w:rsidR="00393F87">
        <w:t xml:space="preserve"> as </w:t>
      </w:r>
      <w:r w:rsidR="00393F87" w:rsidRPr="00366835">
        <w:rPr>
          <w:i/>
        </w:rPr>
        <w:t>“</w:t>
      </w:r>
      <w:r w:rsidR="00366835" w:rsidRPr="00366835">
        <w:rPr>
          <w:i/>
        </w:rPr>
        <w:t>…an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p>
    <w:p w14:paraId="5EA3242B" w14:textId="77777777" w:rsidR="003C1216" w:rsidRDefault="003C1216" w:rsidP="00905963">
      <w:pPr>
        <w:spacing w:line="240" w:lineRule="auto"/>
      </w:pPr>
      <w:r>
        <w:t>To meet the department’s mission and the</w:t>
      </w:r>
      <w:r w:rsidR="00366835">
        <w:t xml:space="preserve"> </w:t>
      </w:r>
      <w:r w:rsidR="00A3214B">
        <w:t>definition of internal auditing</w:t>
      </w:r>
      <w:r w:rsidR="00366835">
        <w:t>, t</w:t>
      </w:r>
      <w:r w:rsidR="007228DD">
        <w:t xml:space="preserve">he Office of Audit and Consulting Services establishes annual goals in four strategic areas:  Audit Engagements, Staffing, Quality Assurance and Outreach. </w:t>
      </w:r>
    </w:p>
    <w:p w14:paraId="33AF7BDC" w14:textId="61A2F13C" w:rsidR="007228DD" w:rsidRPr="005C2B1F" w:rsidRDefault="007228DD" w:rsidP="00905963">
      <w:pPr>
        <w:spacing w:line="240" w:lineRule="auto"/>
        <w:rPr>
          <w:b/>
        </w:rPr>
      </w:pPr>
      <w:r w:rsidRPr="005C2B1F">
        <w:rPr>
          <w:b/>
        </w:rPr>
        <w:t>Accomplishments achieved in fiscal year 201</w:t>
      </w:r>
      <w:r w:rsidR="003459B5">
        <w:rPr>
          <w:b/>
        </w:rPr>
        <w:t>7</w:t>
      </w:r>
      <w:r w:rsidRPr="005C2B1F">
        <w:rPr>
          <w:b/>
        </w:rPr>
        <w:t xml:space="preserve"> are outlined as follows:</w:t>
      </w:r>
    </w:p>
    <w:tbl>
      <w:tblPr>
        <w:tblStyle w:val="TableGrid"/>
        <w:tblW w:w="0" w:type="auto"/>
        <w:tblLook w:val="04A0" w:firstRow="1" w:lastRow="0" w:firstColumn="1" w:lastColumn="0" w:noHBand="0" w:noVBand="1"/>
      </w:tblPr>
      <w:tblGrid>
        <w:gridCol w:w="3634"/>
        <w:gridCol w:w="5716"/>
      </w:tblGrid>
      <w:tr w:rsidR="008169ED" w:rsidRPr="008169ED" w14:paraId="736B05C0" w14:textId="77777777" w:rsidTr="00A0700E">
        <w:tc>
          <w:tcPr>
            <w:tcW w:w="3860" w:type="dxa"/>
          </w:tcPr>
          <w:p w14:paraId="6E2F7286" w14:textId="77777777" w:rsidR="008169ED" w:rsidRPr="008169ED" w:rsidRDefault="008169ED" w:rsidP="00984F26">
            <w:pPr>
              <w:pStyle w:val="Heading2"/>
              <w:outlineLvl w:val="1"/>
            </w:pPr>
            <w:bookmarkStart w:id="8" w:name="_Toc490488565"/>
            <w:r w:rsidRPr="008169ED">
              <w:t xml:space="preserve">Audit Engagement </w:t>
            </w:r>
            <w:r w:rsidR="00984F26">
              <w:t>Goals</w:t>
            </w:r>
            <w:bookmarkEnd w:id="8"/>
          </w:p>
        </w:tc>
        <w:tc>
          <w:tcPr>
            <w:tcW w:w="5716" w:type="dxa"/>
          </w:tcPr>
          <w:p w14:paraId="2D496316" w14:textId="77777777" w:rsidR="008169ED" w:rsidRPr="00AB2AB0" w:rsidRDefault="008169ED" w:rsidP="008B678F">
            <w:pPr>
              <w:jc w:val="center"/>
              <w:rPr>
                <w:rStyle w:val="IntenseEmphasis"/>
              </w:rPr>
            </w:pPr>
            <w:r w:rsidRPr="00AB2AB0">
              <w:rPr>
                <w:rStyle w:val="IntenseEmphasis"/>
              </w:rPr>
              <w:t>Accomplishments</w:t>
            </w:r>
          </w:p>
        </w:tc>
      </w:tr>
      <w:tr w:rsidR="008169ED" w14:paraId="2493E7DE" w14:textId="77777777" w:rsidTr="00A0700E">
        <w:tc>
          <w:tcPr>
            <w:tcW w:w="3860" w:type="dxa"/>
          </w:tcPr>
          <w:p w14:paraId="6BC890E1" w14:textId="77777777" w:rsidR="008169ED" w:rsidRPr="00184CB9" w:rsidRDefault="008169ED" w:rsidP="008B678F">
            <w:pPr>
              <w:pStyle w:val="ListParagraph"/>
              <w:numPr>
                <w:ilvl w:val="0"/>
                <w:numId w:val="7"/>
              </w:numPr>
            </w:pPr>
            <w:r w:rsidRPr="00184CB9">
              <w:t>Effectively identify the best use of limited audit resources to maximize broad-based coverage in key risk areas.</w:t>
            </w:r>
          </w:p>
        </w:tc>
        <w:tc>
          <w:tcPr>
            <w:tcW w:w="5716" w:type="dxa"/>
          </w:tcPr>
          <w:p w14:paraId="086B0AF1" w14:textId="03A11454" w:rsidR="005E4801" w:rsidRPr="00184CB9" w:rsidRDefault="007953F8" w:rsidP="008B678F">
            <w:r w:rsidRPr="00184CB9">
              <w:t xml:space="preserve">Used a risk-based process to identify engagements for the audit plan.  The process included </w:t>
            </w:r>
            <w:r w:rsidR="003C16F7" w:rsidRPr="00184CB9">
              <w:t>interviews with senior leadership</w:t>
            </w:r>
            <w:r w:rsidRPr="00184CB9">
              <w:t xml:space="preserve">, </w:t>
            </w:r>
            <w:r w:rsidR="007E7695" w:rsidRPr="00184CB9">
              <w:t xml:space="preserve">discussion with the </w:t>
            </w:r>
            <w:r w:rsidRPr="00184CB9">
              <w:t xml:space="preserve">Board of Regents </w:t>
            </w:r>
            <w:r w:rsidR="007E7695" w:rsidRPr="00184CB9">
              <w:t xml:space="preserve">and external auditors, </w:t>
            </w:r>
            <w:r w:rsidRPr="00184CB9">
              <w:t>industry analysis</w:t>
            </w:r>
            <w:r w:rsidR="003C16F7" w:rsidRPr="00184CB9">
              <w:t>,</w:t>
            </w:r>
            <w:r w:rsidRPr="00184CB9">
              <w:t xml:space="preserve"> and results from prior audits:  internal, external and agency.  The resulting audit plan was presented to the President, executive management, and the Audit Committee</w:t>
            </w:r>
            <w:r w:rsidR="00393F87" w:rsidRPr="00184CB9">
              <w:t xml:space="preserve"> for their approval</w:t>
            </w:r>
            <w:r w:rsidRPr="00184CB9">
              <w:t>.</w:t>
            </w:r>
          </w:p>
          <w:p w14:paraId="0D8F7521" w14:textId="77777777" w:rsidR="00864C49" w:rsidRPr="00184CB9" w:rsidRDefault="00864C49" w:rsidP="008B678F"/>
          <w:p w14:paraId="538D2198" w14:textId="6A9021DF" w:rsidR="00992C62" w:rsidRPr="00184CB9" w:rsidRDefault="00864C49" w:rsidP="008B678F">
            <w:r w:rsidRPr="00184CB9">
              <w:t xml:space="preserve">A&amp;CS </w:t>
            </w:r>
            <w:r w:rsidR="005762C9" w:rsidRPr="00184CB9">
              <w:t xml:space="preserve">completed </w:t>
            </w:r>
            <w:r w:rsidR="0052049E">
              <w:t>6</w:t>
            </w:r>
            <w:r w:rsidR="00E41EA6" w:rsidRPr="00184CB9">
              <w:t xml:space="preserve"> </w:t>
            </w:r>
            <w:r w:rsidR="005762C9" w:rsidRPr="00184CB9">
              <w:t xml:space="preserve">engagements and issued </w:t>
            </w:r>
            <w:r w:rsidR="001022FF" w:rsidRPr="00184CB9">
              <w:t>3</w:t>
            </w:r>
            <w:r w:rsidR="008447CD" w:rsidRPr="00184CB9">
              <w:t xml:space="preserve"> </w:t>
            </w:r>
            <w:r w:rsidR="005762C9" w:rsidRPr="00184CB9">
              <w:t>reports</w:t>
            </w:r>
            <w:r w:rsidR="00E41EA6" w:rsidRPr="00184CB9">
              <w:t xml:space="preserve">, with </w:t>
            </w:r>
            <w:r w:rsidR="0052049E">
              <w:t>3</w:t>
            </w:r>
            <w:r w:rsidR="00E41EA6" w:rsidRPr="00184CB9">
              <w:t xml:space="preserve"> more reports in the reporting stage</w:t>
            </w:r>
            <w:r w:rsidR="0052049E">
              <w:t>.</w:t>
            </w:r>
          </w:p>
          <w:p w14:paraId="684E9D4E" w14:textId="77777777" w:rsidR="005E4801" w:rsidRPr="00184CB9" w:rsidRDefault="005E4801" w:rsidP="008B678F"/>
          <w:p w14:paraId="2FB096BF" w14:textId="77777777" w:rsidR="007B1589" w:rsidRPr="00184CB9" w:rsidRDefault="007B1589" w:rsidP="00503F01"/>
        </w:tc>
      </w:tr>
      <w:tr w:rsidR="00704B2E" w14:paraId="2B0D0468" w14:textId="77777777" w:rsidTr="00A0700E">
        <w:tc>
          <w:tcPr>
            <w:tcW w:w="3860" w:type="dxa"/>
          </w:tcPr>
          <w:p w14:paraId="5932F841" w14:textId="77777777" w:rsidR="00704B2E" w:rsidRDefault="00704B2E" w:rsidP="008B678F">
            <w:pPr>
              <w:pStyle w:val="ListParagraph"/>
              <w:numPr>
                <w:ilvl w:val="0"/>
                <w:numId w:val="7"/>
              </w:numPr>
            </w:pPr>
            <w:r>
              <w:t>Maximize benefit of all external audit services.</w:t>
            </w:r>
          </w:p>
        </w:tc>
        <w:tc>
          <w:tcPr>
            <w:tcW w:w="5716" w:type="dxa"/>
          </w:tcPr>
          <w:p w14:paraId="136AAFD4" w14:textId="4BD0CEFC" w:rsidR="00704B2E" w:rsidRDefault="007C0E8E" w:rsidP="008B678F">
            <w:r>
              <w:t>Acted as a liaison with</w:t>
            </w:r>
            <w:r w:rsidR="00447055">
              <w:t xml:space="preserve"> external auditors in relation to </w:t>
            </w:r>
            <w:r w:rsidR="00A155FB">
              <w:t xml:space="preserve">legislative, </w:t>
            </w:r>
            <w:r w:rsidR="00447055">
              <w:t>federal complianc</w:t>
            </w:r>
            <w:r w:rsidR="00A54CBE">
              <w:t>e and financial statement audits</w:t>
            </w:r>
            <w:r w:rsidR="00447055">
              <w:t>.</w:t>
            </w:r>
          </w:p>
          <w:p w14:paraId="7EE8262A" w14:textId="77777777" w:rsidR="00447055" w:rsidRDefault="00447055" w:rsidP="008B678F"/>
        </w:tc>
      </w:tr>
      <w:tr w:rsidR="008169ED" w14:paraId="2B5DB5B6" w14:textId="77777777" w:rsidTr="00A0700E">
        <w:tc>
          <w:tcPr>
            <w:tcW w:w="3860" w:type="dxa"/>
          </w:tcPr>
          <w:p w14:paraId="2D6EDA08" w14:textId="77777777" w:rsidR="008169ED" w:rsidRDefault="008169ED" w:rsidP="008B678F">
            <w:pPr>
              <w:pStyle w:val="ListParagraph"/>
              <w:numPr>
                <w:ilvl w:val="0"/>
                <w:numId w:val="7"/>
              </w:numPr>
            </w:pPr>
            <w:r>
              <w:t>Make value-added recommendations that identify strengths and system improvements to better meet objectives.</w:t>
            </w:r>
          </w:p>
        </w:tc>
        <w:tc>
          <w:tcPr>
            <w:tcW w:w="5716" w:type="dxa"/>
          </w:tcPr>
          <w:p w14:paraId="10AF2CFE" w14:textId="56FDF43C" w:rsidR="007B1589" w:rsidRDefault="00F1471B" w:rsidP="0018630C">
            <w:r w:rsidRPr="00C66943">
              <w:t>Completed follow-up audit procedures on</w:t>
            </w:r>
            <w:r w:rsidR="00E0578B" w:rsidRPr="00C66943">
              <w:t xml:space="preserve"> </w:t>
            </w:r>
            <w:r w:rsidR="003E0FA0">
              <w:t>30</w:t>
            </w:r>
            <w:r w:rsidR="00734159" w:rsidRPr="00A763E5">
              <w:t xml:space="preserve"> o</w:t>
            </w:r>
            <w:r w:rsidR="00734159" w:rsidRPr="00C66943">
              <w:t>pen</w:t>
            </w:r>
            <w:r w:rsidRPr="00C66943">
              <w:t xml:space="preserve"> recommendations</w:t>
            </w:r>
            <w:r w:rsidR="00734159" w:rsidRPr="00C66943">
              <w:t xml:space="preserve"> from prior audits</w:t>
            </w:r>
            <w:r w:rsidRPr="00C66943">
              <w:t xml:space="preserve">, noting that </w:t>
            </w:r>
            <w:r w:rsidR="003E0FA0">
              <w:t>20</w:t>
            </w:r>
            <w:r w:rsidR="0045051B" w:rsidRPr="00C66943">
              <w:t xml:space="preserve"> </w:t>
            </w:r>
            <w:r w:rsidR="001E0CDA" w:rsidRPr="00C66943">
              <w:t xml:space="preserve">were implemented and the remaining </w:t>
            </w:r>
            <w:r w:rsidR="00A763E5" w:rsidRPr="003E0FA0">
              <w:t>10</w:t>
            </w:r>
            <w:r w:rsidRPr="003E0FA0">
              <w:t xml:space="preserve"> were in-progress.</w:t>
            </w:r>
            <w:r w:rsidR="003126E7" w:rsidRPr="003E0FA0">
              <w:t xml:space="preserve">  FY1</w:t>
            </w:r>
            <w:r w:rsidR="00A763E5" w:rsidRPr="003E0FA0">
              <w:t>7</w:t>
            </w:r>
            <w:r w:rsidR="00F30AB7" w:rsidRPr="003E0FA0">
              <w:t xml:space="preserve"> ended with </w:t>
            </w:r>
            <w:r w:rsidR="003126E7" w:rsidRPr="003E0FA0">
              <w:t>6</w:t>
            </w:r>
            <w:r w:rsidR="003E0FA0" w:rsidRPr="003E0FA0">
              <w:t>8</w:t>
            </w:r>
            <w:r w:rsidR="00F30AB7" w:rsidRPr="003E0FA0">
              <w:t xml:space="preserve"> recommendations</w:t>
            </w:r>
            <w:r w:rsidR="0018630C">
              <w:t xml:space="preserve"> with follow-up in progress or to be performed </w:t>
            </w:r>
            <w:r w:rsidR="00F30AB7" w:rsidRPr="00780459">
              <w:t>in the</w:t>
            </w:r>
            <w:r w:rsidR="00F30AB7">
              <w:t xml:space="preserve"> future.  This figure excludes the recommendations from the 2011 Coalfire Systems information security review.  Rather than follow-up on each recommendation, we </w:t>
            </w:r>
            <w:r w:rsidR="00D33ECC">
              <w:t>incorporated</w:t>
            </w:r>
            <w:r w:rsidR="00F30AB7">
              <w:t xml:space="preserve"> in-depth audits of the highest ranked risks</w:t>
            </w:r>
            <w:r w:rsidR="00D33ECC">
              <w:t xml:space="preserve"> into annual audit plans</w:t>
            </w:r>
            <w:r w:rsidR="00F30AB7">
              <w:t>.</w:t>
            </w:r>
          </w:p>
        </w:tc>
      </w:tr>
      <w:tr w:rsidR="008169ED" w14:paraId="2AFD3268" w14:textId="77777777" w:rsidTr="00A0700E">
        <w:tc>
          <w:tcPr>
            <w:tcW w:w="3860" w:type="dxa"/>
          </w:tcPr>
          <w:p w14:paraId="4510CBC0" w14:textId="77777777" w:rsidR="008169ED" w:rsidRDefault="008169ED" w:rsidP="008B678F">
            <w:pPr>
              <w:pStyle w:val="ListParagraph"/>
              <w:numPr>
                <w:ilvl w:val="0"/>
                <w:numId w:val="7"/>
              </w:numPr>
            </w:pPr>
            <w:r>
              <w:lastRenderedPageBreak/>
              <w:t>Identify and effectively respond to risks associated with</w:t>
            </w:r>
            <w:r w:rsidR="00BB5FCA">
              <w:t xml:space="preserve"> </w:t>
            </w:r>
            <w:r>
              <w:t>fraud</w:t>
            </w:r>
            <w:r w:rsidR="00BB5FCA">
              <w:t>, waste</w:t>
            </w:r>
            <w:r>
              <w:t xml:space="preserve"> and abuse.</w:t>
            </w:r>
          </w:p>
          <w:p w14:paraId="30656D47" w14:textId="77777777" w:rsidR="00B5200D" w:rsidRDefault="00B5200D" w:rsidP="00B5200D"/>
          <w:p w14:paraId="3E1DFF2E" w14:textId="77777777" w:rsidR="00B5200D" w:rsidRDefault="00B5200D" w:rsidP="00B5200D"/>
          <w:p w14:paraId="1FD35F01" w14:textId="77777777" w:rsidR="00B5200D" w:rsidRDefault="00B5200D" w:rsidP="00B5200D"/>
          <w:p w14:paraId="0AF0744C" w14:textId="77777777" w:rsidR="00B5200D" w:rsidRDefault="00B5200D" w:rsidP="00B5200D"/>
          <w:p w14:paraId="45AA2D4C" w14:textId="77777777" w:rsidR="00B5200D" w:rsidRDefault="00B5200D" w:rsidP="00B5200D"/>
          <w:p w14:paraId="2C98A476" w14:textId="77777777" w:rsidR="00B5200D" w:rsidRDefault="00B5200D" w:rsidP="00B5200D"/>
        </w:tc>
        <w:tc>
          <w:tcPr>
            <w:tcW w:w="5716" w:type="dxa"/>
          </w:tcPr>
          <w:p w14:paraId="3A630384" w14:textId="7C924D65" w:rsidR="00C01481" w:rsidRDefault="00C01481" w:rsidP="008B678F">
            <w:r>
              <w:t>A fraud risk assessment is being performed for the procurement and related accounts payable function.</w:t>
            </w:r>
          </w:p>
          <w:p w14:paraId="038ABD71" w14:textId="77777777" w:rsidR="00C01481" w:rsidRDefault="00C01481" w:rsidP="008B678F"/>
          <w:p w14:paraId="76EA1343" w14:textId="60444410" w:rsidR="008169ED" w:rsidRPr="00F03D01" w:rsidRDefault="00F03D01" w:rsidP="008B678F">
            <w:r>
              <w:t>1</w:t>
            </w:r>
            <w:r w:rsidR="008169ED" w:rsidRPr="00F03D01">
              <w:t xml:space="preserve"> investigation completed</w:t>
            </w:r>
            <w:r w:rsidR="00C42082">
              <w:t>;</w:t>
            </w:r>
            <w:r w:rsidR="00632F84" w:rsidRPr="00F03D01">
              <w:t xml:space="preserve"> </w:t>
            </w:r>
            <w:r w:rsidR="00566E6F">
              <w:t>2 are</w:t>
            </w:r>
            <w:r w:rsidR="000C52E6" w:rsidRPr="00F03D01">
              <w:t xml:space="preserve"> </w:t>
            </w:r>
            <w:r w:rsidR="00632F84" w:rsidRPr="00F03D01">
              <w:t>in progress</w:t>
            </w:r>
            <w:r w:rsidR="008169ED" w:rsidRPr="00F03D01">
              <w:t xml:space="preserve">. </w:t>
            </w:r>
            <w:r>
              <w:t xml:space="preserve"> Follow-up on 1 </w:t>
            </w:r>
            <w:r w:rsidR="00B50FB2">
              <w:t xml:space="preserve">prior </w:t>
            </w:r>
            <w:r>
              <w:t>investigation also occurred.</w:t>
            </w:r>
          </w:p>
          <w:p w14:paraId="0CF1EDB9" w14:textId="77777777" w:rsidR="00BB5FCA" w:rsidRPr="003C5B0E" w:rsidRDefault="00BB5FCA" w:rsidP="008B678F">
            <w:pPr>
              <w:rPr>
                <w:highlight w:val="magenta"/>
              </w:rPr>
            </w:pPr>
          </w:p>
          <w:p w14:paraId="383999C4" w14:textId="76D90BD0" w:rsidR="008169ED" w:rsidRDefault="004F72CC" w:rsidP="008B678F">
            <w:r>
              <w:t>6</w:t>
            </w:r>
            <w:r w:rsidR="008169ED" w:rsidRPr="00C42082">
              <w:t xml:space="preserve"> instances where the potential for fraud</w:t>
            </w:r>
            <w:r w:rsidR="00BB5FCA" w:rsidRPr="00C42082">
              <w:t>, waste</w:t>
            </w:r>
            <w:r w:rsidR="008169ED" w:rsidRPr="00C42082">
              <w:t xml:space="preserve"> or abuse were reviewed and deemed that an investigation was not necessary</w:t>
            </w:r>
            <w:r w:rsidR="0045051B" w:rsidRPr="00C42082">
              <w:t>, or the</w:t>
            </w:r>
            <w:r w:rsidR="002E5BA1" w:rsidRPr="00C42082">
              <w:t xml:space="preserve"> determination is in-progress</w:t>
            </w:r>
            <w:r w:rsidR="008169ED" w:rsidRPr="00C42082">
              <w:t>.</w:t>
            </w:r>
            <w:r w:rsidR="00EC5BF0">
              <w:t xml:space="preserve"> </w:t>
            </w:r>
          </w:p>
          <w:p w14:paraId="14CCB997" w14:textId="77777777" w:rsidR="00BB5FCA" w:rsidRDefault="00BB5FCA" w:rsidP="008B678F"/>
          <w:p w14:paraId="0CF890FA" w14:textId="77777777" w:rsidR="00B5200D" w:rsidRDefault="00B5200D" w:rsidP="00EE120E"/>
          <w:p w14:paraId="36DE865C" w14:textId="77777777" w:rsidR="00B5200D" w:rsidRDefault="00B5200D" w:rsidP="00EE120E">
            <w:r w:rsidRPr="00B5200D">
              <w:rPr>
                <w:noProof/>
              </w:rPr>
              <w:drawing>
                <wp:inline distT="0" distB="0" distL="0" distR="0" wp14:anchorId="2C8240D3" wp14:editId="1BFDA2EA">
                  <wp:extent cx="3493008" cy="685800"/>
                  <wp:effectExtent l="0" t="0" r="0" b="0"/>
                  <wp:docPr id="6" name="Picture 6" descr="Z:\AUDIT\Office Admin\Director\Annual Audit Reports\RightCall-webpages-horizontal-ski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UDIT\Office Admin\Director\Annual Audit Reports\RightCall-webpages-horizontal-skin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3461" cy="687852"/>
                          </a:xfrm>
                          <a:prstGeom prst="rect">
                            <a:avLst/>
                          </a:prstGeom>
                          <a:noFill/>
                          <a:ln>
                            <a:noFill/>
                          </a:ln>
                        </pic:spPr>
                      </pic:pic>
                    </a:graphicData>
                  </a:graphic>
                </wp:inline>
              </w:drawing>
            </w:r>
          </w:p>
          <w:p w14:paraId="11D55277" w14:textId="77777777" w:rsidR="003474BE" w:rsidRDefault="003474BE" w:rsidP="00EE120E"/>
          <w:p w14:paraId="3FC946F1" w14:textId="77777777" w:rsidR="003474BE" w:rsidRPr="00B5200D" w:rsidRDefault="003474BE" w:rsidP="003474BE">
            <w:pPr>
              <w:jc w:val="center"/>
              <w:rPr>
                <w:b/>
              </w:rPr>
            </w:pPr>
            <w:r w:rsidRPr="00B5200D">
              <w:rPr>
                <w:b/>
              </w:rPr>
              <w:t>Toll Free 855-251-5719</w:t>
            </w:r>
          </w:p>
          <w:p w14:paraId="27B36FBB" w14:textId="77777777" w:rsidR="0006612B" w:rsidRDefault="0006612B" w:rsidP="00EE120E"/>
          <w:p w14:paraId="29D22D28" w14:textId="77CF25C9" w:rsidR="007B1589" w:rsidRDefault="00335E8E" w:rsidP="00EE120E">
            <w:r>
              <w:t xml:space="preserve">The </w:t>
            </w:r>
            <w:r w:rsidR="00D654F7">
              <w:t>c</w:t>
            </w:r>
            <w:r>
              <w:t xml:space="preserve">hief </w:t>
            </w:r>
            <w:r w:rsidR="00D654F7">
              <w:t>a</w:t>
            </w:r>
            <w:r>
              <w:t xml:space="preserve">udit </w:t>
            </w:r>
            <w:r w:rsidR="00D654F7">
              <w:t>e</w:t>
            </w:r>
            <w:r>
              <w:t xml:space="preserve">xecutive </w:t>
            </w:r>
            <w:r w:rsidR="000C52E6">
              <w:t xml:space="preserve">and the </w:t>
            </w:r>
            <w:r w:rsidR="00D654F7">
              <w:t>senior a</w:t>
            </w:r>
            <w:r w:rsidR="000C52E6">
              <w:t>uditor are</w:t>
            </w:r>
            <w:r w:rsidR="0006612B">
              <w:t xml:space="preserve"> Certified Fraud Examiner</w:t>
            </w:r>
            <w:r w:rsidR="000C52E6">
              <w:t>s</w:t>
            </w:r>
            <w:r w:rsidR="0006612B">
              <w:t>.</w:t>
            </w:r>
          </w:p>
          <w:p w14:paraId="7F1B114C" w14:textId="77777777" w:rsidR="00B71E21" w:rsidRDefault="00B71E21" w:rsidP="00EE120E"/>
          <w:p w14:paraId="4C739289" w14:textId="77777777" w:rsidR="00B71E21" w:rsidRDefault="00B71E21" w:rsidP="00EE120E">
            <w:r w:rsidRPr="006B3F62">
              <w:t>Each auditor attended</w:t>
            </w:r>
            <w:r w:rsidR="006B3F62" w:rsidRPr="006B3F62">
              <w:t xml:space="preserve"> fraud training.</w:t>
            </w:r>
          </w:p>
          <w:p w14:paraId="08C96A6A" w14:textId="77777777" w:rsidR="007B1589" w:rsidRDefault="007B1589" w:rsidP="00EE120E"/>
          <w:p w14:paraId="3204136A" w14:textId="77777777" w:rsidR="007B1589" w:rsidRDefault="007B1589" w:rsidP="00EE120E">
            <w:r>
              <w:t>Audit-level risk assessments include a fraud risk assessment.</w:t>
            </w:r>
          </w:p>
          <w:p w14:paraId="6169981B" w14:textId="77777777" w:rsidR="007B1589" w:rsidRDefault="007B1589" w:rsidP="00EE120E"/>
        </w:tc>
      </w:tr>
      <w:tr w:rsidR="008169ED" w:rsidRPr="008169ED" w14:paraId="35AD4802" w14:textId="77777777" w:rsidTr="00A0700E">
        <w:tc>
          <w:tcPr>
            <w:tcW w:w="3860" w:type="dxa"/>
          </w:tcPr>
          <w:p w14:paraId="4E837727" w14:textId="77777777" w:rsidR="008169ED" w:rsidRPr="008169ED" w:rsidRDefault="008169ED" w:rsidP="009B6258">
            <w:pPr>
              <w:pStyle w:val="Heading2"/>
              <w:outlineLvl w:val="1"/>
              <w:rPr>
                <w:b/>
                <w:color w:val="0070C0"/>
              </w:rPr>
            </w:pPr>
            <w:bookmarkStart w:id="9" w:name="_Toc490488566"/>
            <w:r w:rsidRPr="009B6258">
              <w:t>Staffing</w:t>
            </w:r>
            <w:r w:rsidR="00984F26">
              <w:t xml:space="preserve"> Goals</w:t>
            </w:r>
            <w:bookmarkEnd w:id="9"/>
          </w:p>
        </w:tc>
        <w:tc>
          <w:tcPr>
            <w:tcW w:w="5716" w:type="dxa"/>
          </w:tcPr>
          <w:p w14:paraId="247EF5ED" w14:textId="77777777" w:rsidR="008169ED" w:rsidRPr="008169ED" w:rsidRDefault="008169ED" w:rsidP="008B678F">
            <w:pPr>
              <w:jc w:val="center"/>
              <w:rPr>
                <w:b/>
                <w:color w:val="0070C0"/>
              </w:rPr>
            </w:pPr>
            <w:r w:rsidRPr="00AB2AB0">
              <w:rPr>
                <w:rStyle w:val="IntenseEmphasis"/>
              </w:rPr>
              <w:t>Accomplishments</w:t>
            </w:r>
          </w:p>
        </w:tc>
      </w:tr>
      <w:tr w:rsidR="008169ED" w14:paraId="622B920E" w14:textId="77777777" w:rsidTr="00A0700E">
        <w:tc>
          <w:tcPr>
            <w:tcW w:w="3860" w:type="dxa"/>
          </w:tcPr>
          <w:p w14:paraId="53B0566F" w14:textId="77777777" w:rsidR="008169ED" w:rsidRDefault="008169ED" w:rsidP="008B678F">
            <w:r>
              <w:t>Employ highly-effective personnel that possess the technical and effective communication skill sets necessary to ensure successful identification and implementation of value-added recommendations.</w:t>
            </w:r>
          </w:p>
        </w:tc>
        <w:tc>
          <w:tcPr>
            <w:tcW w:w="5716" w:type="dxa"/>
          </w:tcPr>
          <w:p w14:paraId="0620C33D" w14:textId="2C6C57DD" w:rsidR="008211D4" w:rsidRDefault="008211D4" w:rsidP="008B678F">
            <w:r>
              <w:t>Two auditors are preparing for the Certified Internal Auditor exam.</w:t>
            </w:r>
          </w:p>
          <w:p w14:paraId="31EEACEA" w14:textId="77777777" w:rsidR="008211D4" w:rsidRDefault="008211D4" w:rsidP="008B678F"/>
          <w:p w14:paraId="2EF0B4C5" w14:textId="77777777" w:rsidR="008169ED" w:rsidRDefault="008169ED" w:rsidP="008B678F">
            <w:r>
              <w:t xml:space="preserve">Annual career development planning </w:t>
            </w:r>
            <w:r w:rsidR="003D2C82">
              <w:t xml:space="preserve">was conducted </w:t>
            </w:r>
            <w:r>
              <w:t>with all audit staff.</w:t>
            </w:r>
          </w:p>
          <w:p w14:paraId="6353B83D" w14:textId="77777777" w:rsidR="00BB5FCA" w:rsidRDefault="00BB5FCA" w:rsidP="008B678F"/>
          <w:p w14:paraId="1DCFF1BA" w14:textId="77777777" w:rsidR="003C636A" w:rsidRDefault="003C636A" w:rsidP="008B678F">
            <w:r>
              <w:t xml:space="preserve">Performance evaluations </w:t>
            </w:r>
            <w:r w:rsidR="003D2C82">
              <w:t xml:space="preserve">were conducted </w:t>
            </w:r>
            <w:r>
              <w:t>for all audit staff.</w:t>
            </w:r>
          </w:p>
          <w:p w14:paraId="4D791FD2" w14:textId="77777777" w:rsidR="003C636A" w:rsidRDefault="003C636A" w:rsidP="008B678F"/>
          <w:p w14:paraId="3AC69E6B" w14:textId="77777777" w:rsidR="008169ED" w:rsidRDefault="00627761" w:rsidP="008B678F">
            <w:r>
              <w:t>Each auditor</w:t>
            </w:r>
            <w:r w:rsidR="008169ED">
              <w:t xml:space="preserve"> received</w:t>
            </w:r>
            <w:r>
              <w:t xml:space="preserve"> a minimum of 40</w:t>
            </w:r>
            <w:r w:rsidR="008169ED">
              <w:t xml:space="preserve"> continuing professional education </w:t>
            </w:r>
            <w:r>
              <w:t xml:space="preserve">units (CPEs) </w:t>
            </w:r>
            <w:r w:rsidR="008169ED">
              <w:t xml:space="preserve">to improve their </w:t>
            </w:r>
            <w:r>
              <w:t xml:space="preserve">knowledge on higher education audit topics and techniques, remain abreast of emerging higher education risks, and achieve and maintain a high level of </w:t>
            </w:r>
            <w:r w:rsidR="008169ED">
              <w:t>performance</w:t>
            </w:r>
            <w:r>
              <w:t>.  A minimum of 40 CPE are</w:t>
            </w:r>
            <w:r w:rsidR="008169ED">
              <w:t xml:space="preserve"> required by</w:t>
            </w:r>
            <w:r w:rsidR="003F7BF6">
              <w:t xml:space="preserve"> governmental</w:t>
            </w:r>
            <w:r w:rsidR="008169ED">
              <w:t xml:space="preserve"> auditing standards</w:t>
            </w:r>
            <w:r w:rsidR="00C8165E">
              <w:t xml:space="preserve">.  </w:t>
            </w:r>
            <w:r w:rsidR="00214942">
              <w:t>Additionally, c</w:t>
            </w:r>
            <w:r w:rsidR="00C8165E">
              <w:t xml:space="preserve">ertified auditors complied with the CPE requirements of their </w:t>
            </w:r>
            <w:r w:rsidR="008447CD">
              <w:t>certifying organizations</w:t>
            </w:r>
            <w:r w:rsidR="008169ED">
              <w:t>.</w:t>
            </w:r>
          </w:p>
          <w:p w14:paraId="70B8549F" w14:textId="77777777" w:rsidR="00BB5FCA" w:rsidRDefault="00BB5FCA" w:rsidP="008B678F"/>
          <w:p w14:paraId="6A934B39" w14:textId="77777777" w:rsidR="0006612B" w:rsidRDefault="00BB5FCA" w:rsidP="008B678F">
            <w:r>
              <w:t>All staff participated in professional organizations to remain current on industry and technical trends as well as to facilitate networking opportunities.  Staff member participation included</w:t>
            </w:r>
            <w:r w:rsidR="0006612B">
              <w:t>:</w:t>
            </w:r>
          </w:p>
          <w:p w14:paraId="04FF8745" w14:textId="487CE510" w:rsidR="0006612B" w:rsidRDefault="00BB5FCA" w:rsidP="0006612B">
            <w:pPr>
              <w:pStyle w:val="ListParagraph"/>
              <w:numPr>
                <w:ilvl w:val="0"/>
                <w:numId w:val="16"/>
              </w:numPr>
            </w:pPr>
            <w:r>
              <w:lastRenderedPageBreak/>
              <w:t>Systems of Higher Educat</w:t>
            </w:r>
            <w:r w:rsidR="0006612B">
              <w:t>ion Chief Audit Executive forum</w:t>
            </w:r>
            <w:r w:rsidR="008211D4">
              <w:t>.</w:t>
            </w:r>
          </w:p>
          <w:p w14:paraId="13FEFAA6" w14:textId="77777777" w:rsidR="007B1589" w:rsidRDefault="0006612B" w:rsidP="003325CB">
            <w:pPr>
              <w:pStyle w:val="ListParagraph"/>
              <w:numPr>
                <w:ilvl w:val="0"/>
                <w:numId w:val="16"/>
              </w:numPr>
            </w:pPr>
            <w:r>
              <w:t>A</w:t>
            </w:r>
            <w:r w:rsidR="00BB5FCA">
              <w:t xml:space="preserve">ssociation of College </w:t>
            </w:r>
            <w:r>
              <w:t xml:space="preserve">and University Auditors </w:t>
            </w:r>
            <w:r w:rsidR="003325CB">
              <w:t>Professional Education Committee Chair</w:t>
            </w:r>
            <w:r w:rsidR="008211D4">
              <w:t>.</w:t>
            </w:r>
          </w:p>
          <w:p w14:paraId="3D5788E5" w14:textId="6A26C431" w:rsidR="007807CE" w:rsidRDefault="00A87D91" w:rsidP="00685459">
            <w:pPr>
              <w:pStyle w:val="ListParagraph"/>
              <w:numPr>
                <w:ilvl w:val="0"/>
                <w:numId w:val="16"/>
              </w:numPr>
            </w:pPr>
            <w:r w:rsidRPr="00C45473">
              <w:t xml:space="preserve">Co-presenting at a </w:t>
            </w:r>
            <w:r w:rsidR="00C45473">
              <w:t>Treasury Institute for Higher Education Work</w:t>
            </w:r>
            <w:r w:rsidR="00685459">
              <w:t>s</w:t>
            </w:r>
            <w:r w:rsidR="00C45473">
              <w:t>hop</w:t>
            </w:r>
          </w:p>
        </w:tc>
      </w:tr>
      <w:tr w:rsidR="00BB5FCA" w:rsidRPr="008169ED" w14:paraId="309D481F" w14:textId="77777777" w:rsidTr="00A0700E">
        <w:trPr>
          <w:trHeight w:val="197"/>
        </w:trPr>
        <w:tc>
          <w:tcPr>
            <w:tcW w:w="3860" w:type="dxa"/>
          </w:tcPr>
          <w:p w14:paraId="3C8F0D43" w14:textId="77777777" w:rsidR="00BB5FCA" w:rsidRPr="008169ED" w:rsidRDefault="00BB5FCA" w:rsidP="009B6258">
            <w:pPr>
              <w:pStyle w:val="Heading2"/>
              <w:outlineLvl w:val="1"/>
              <w:rPr>
                <w:b/>
                <w:color w:val="0070C0"/>
              </w:rPr>
            </w:pPr>
            <w:bookmarkStart w:id="10" w:name="_Toc490488567"/>
            <w:r w:rsidRPr="009B6258">
              <w:lastRenderedPageBreak/>
              <w:t>Quality Assurance</w:t>
            </w:r>
            <w:r w:rsidR="00984F26">
              <w:t xml:space="preserve"> </w:t>
            </w:r>
            <w:r w:rsidR="009B6316">
              <w:t xml:space="preserve">(QA) </w:t>
            </w:r>
            <w:r w:rsidR="00984F26">
              <w:t>Goals</w:t>
            </w:r>
            <w:bookmarkEnd w:id="10"/>
          </w:p>
        </w:tc>
        <w:tc>
          <w:tcPr>
            <w:tcW w:w="5716" w:type="dxa"/>
          </w:tcPr>
          <w:p w14:paraId="56FC8593" w14:textId="77777777" w:rsidR="00BB5FCA" w:rsidRPr="008169ED" w:rsidRDefault="00BB5FCA" w:rsidP="008B678F">
            <w:pPr>
              <w:jc w:val="center"/>
              <w:rPr>
                <w:b/>
                <w:color w:val="0070C0"/>
              </w:rPr>
            </w:pPr>
            <w:r w:rsidRPr="00AB2AB0">
              <w:rPr>
                <w:rStyle w:val="IntenseEmphasis"/>
              </w:rPr>
              <w:t>Accomplishments</w:t>
            </w:r>
          </w:p>
        </w:tc>
      </w:tr>
      <w:tr w:rsidR="008169ED" w14:paraId="66CFCA61" w14:textId="77777777" w:rsidTr="00A0700E">
        <w:tc>
          <w:tcPr>
            <w:tcW w:w="3860" w:type="dxa"/>
          </w:tcPr>
          <w:p w14:paraId="1CE4A06F" w14:textId="77777777" w:rsidR="008169ED" w:rsidRDefault="00BB5FCA" w:rsidP="008B678F">
            <w:r>
              <w:t>Employ internal operational practices that comply with auditing standards and promote efficient use of limited resources.</w:t>
            </w:r>
          </w:p>
        </w:tc>
        <w:tc>
          <w:tcPr>
            <w:tcW w:w="5716" w:type="dxa"/>
          </w:tcPr>
          <w:p w14:paraId="73E20628" w14:textId="18852BF3" w:rsidR="00A368FA" w:rsidRDefault="00164EE5" w:rsidP="00F5588C">
            <w:pPr>
              <w:pStyle w:val="ListParagraph"/>
              <w:numPr>
                <w:ilvl w:val="0"/>
                <w:numId w:val="42"/>
              </w:numPr>
            </w:pPr>
            <w:r>
              <w:t xml:space="preserve">2017 - </w:t>
            </w:r>
            <w:r w:rsidR="00A368FA">
              <w:t>The CAE participated on QAR teams for Oregon State University and Idaho State University in FY17.</w:t>
            </w:r>
          </w:p>
          <w:p w14:paraId="26BE3EF0" w14:textId="7AF4B308" w:rsidR="006453EF" w:rsidRDefault="00164EE5" w:rsidP="00F5588C">
            <w:pPr>
              <w:pStyle w:val="ListParagraph"/>
              <w:numPr>
                <w:ilvl w:val="0"/>
                <w:numId w:val="42"/>
              </w:numPr>
            </w:pPr>
            <w:r>
              <w:t xml:space="preserve">2017 - </w:t>
            </w:r>
            <w:r w:rsidR="006453EF">
              <w:t>Implementation of 2016 QAR recommendations.</w:t>
            </w:r>
          </w:p>
          <w:p w14:paraId="430D6BE7" w14:textId="1C2C7A38" w:rsidR="00704B2E" w:rsidRDefault="00A368FA" w:rsidP="00F5588C">
            <w:pPr>
              <w:pStyle w:val="ListParagraph"/>
              <w:numPr>
                <w:ilvl w:val="0"/>
                <w:numId w:val="42"/>
              </w:numPr>
            </w:pPr>
            <w:r>
              <w:t xml:space="preserve">2016 - </w:t>
            </w:r>
            <w:r w:rsidR="00BB5FCA" w:rsidRPr="00EA6B29">
              <w:t xml:space="preserve">Received a rating of </w:t>
            </w:r>
            <w:r w:rsidR="008211D4" w:rsidRPr="00F5588C">
              <w:rPr>
                <w:b/>
                <w:i/>
              </w:rPr>
              <w:t>“</w:t>
            </w:r>
            <w:r w:rsidR="00BC6B91" w:rsidRPr="00F5588C">
              <w:rPr>
                <w:b/>
                <w:i/>
              </w:rPr>
              <w:t xml:space="preserve">Generally </w:t>
            </w:r>
            <w:r w:rsidR="008211D4" w:rsidRPr="00F5588C">
              <w:rPr>
                <w:b/>
                <w:i/>
              </w:rPr>
              <w:t>Conforms”</w:t>
            </w:r>
            <w:r w:rsidR="00BB5FCA" w:rsidRPr="00EA6B29">
              <w:t xml:space="preserve"> from a peer review conducted by </w:t>
            </w:r>
            <w:r w:rsidR="006453EF">
              <w:t>the c</w:t>
            </w:r>
            <w:r w:rsidR="008211D4">
              <w:t xml:space="preserve">hief </w:t>
            </w:r>
            <w:r w:rsidR="006453EF">
              <w:t>audit e</w:t>
            </w:r>
            <w:r w:rsidR="008211D4">
              <w:t xml:space="preserve">xecutive from </w:t>
            </w:r>
            <w:r w:rsidR="008211D4" w:rsidRPr="00613E39">
              <w:t>Washington State University</w:t>
            </w:r>
            <w:r w:rsidR="00BB5FCA" w:rsidRPr="00613E39">
              <w:t xml:space="preserve">. </w:t>
            </w:r>
            <w:r w:rsidR="0002760A" w:rsidRPr="00613E39">
              <w:t xml:space="preserve">  </w:t>
            </w:r>
            <w:r w:rsidR="0002760A" w:rsidRPr="00F5588C">
              <w:rPr>
                <w:b/>
                <w:i/>
              </w:rPr>
              <w:t xml:space="preserve">This </w:t>
            </w:r>
            <w:r w:rsidR="00613E39" w:rsidRPr="00F5588C">
              <w:rPr>
                <w:b/>
                <w:i/>
              </w:rPr>
              <w:t>is the highest possible rating and signifies an</w:t>
            </w:r>
            <w:r w:rsidR="0002760A" w:rsidRPr="00F5588C">
              <w:rPr>
                <w:b/>
                <w:i/>
              </w:rPr>
              <w:t xml:space="preserve"> upgrade</w:t>
            </w:r>
            <w:r w:rsidR="0002760A" w:rsidRPr="00613E39">
              <w:t xml:space="preserve"> from the prior rating in 2011 of “Partially Conforms</w:t>
            </w:r>
            <w:r w:rsidR="00613E39">
              <w:t>.</w:t>
            </w:r>
            <w:r w:rsidR="0002760A" w:rsidRPr="00613E39">
              <w:t xml:space="preserve">” </w:t>
            </w:r>
            <w:r w:rsidR="00613E39">
              <w:t xml:space="preserve">It </w:t>
            </w:r>
            <w:r w:rsidR="0002760A">
              <w:t xml:space="preserve">highlights the improvements the department </w:t>
            </w:r>
            <w:r w:rsidR="00C265C4">
              <w:t>continues to make</w:t>
            </w:r>
            <w:r w:rsidR="0002760A">
              <w:t xml:space="preserve"> on a</w:t>
            </w:r>
            <w:r w:rsidR="00C265C4">
              <w:t>n ongo</w:t>
            </w:r>
            <w:r w:rsidR="0002760A">
              <w:t>ing basis.</w:t>
            </w:r>
            <w:r w:rsidR="003251A6">
              <w:t xml:space="preserve">  The review is required to </w:t>
            </w:r>
            <w:r w:rsidR="00F64269">
              <w:t>occur at a minimum of every 5</w:t>
            </w:r>
            <w:r w:rsidR="003251A6">
              <w:t xml:space="preserve"> years.</w:t>
            </w:r>
          </w:p>
          <w:p w14:paraId="0437AC0B" w14:textId="4D34C3F7" w:rsidR="003459B5" w:rsidRDefault="003459B5" w:rsidP="003C5B0E"/>
        </w:tc>
      </w:tr>
      <w:tr w:rsidR="00BB5FCA" w:rsidRPr="008169ED" w14:paraId="6D9F90F4" w14:textId="77777777" w:rsidTr="00A0700E">
        <w:tc>
          <w:tcPr>
            <w:tcW w:w="3860" w:type="dxa"/>
          </w:tcPr>
          <w:p w14:paraId="4C93E7C5" w14:textId="77777777" w:rsidR="00BB5FCA" w:rsidRPr="008169ED" w:rsidRDefault="00B72648" w:rsidP="009B6258">
            <w:pPr>
              <w:pStyle w:val="Heading2"/>
              <w:outlineLvl w:val="1"/>
              <w:rPr>
                <w:b/>
                <w:color w:val="0070C0"/>
              </w:rPr>
            </w:pPr>
            <w:bookmarkStart w:id="11" w:name="_Toc490488568"/>
            <w:r w:rsidRPr="009B6258">
              <w:t>Outreach</w:t>
            </w:r>
            <w:r w:rsidR="00BB5FCA" w:rsidRPr="009B6258">
              <w:t xml:space="preserve"> </w:t>
            </w:r>
            <w:r w:rsidR="00984F26">
              <w:t>Goals</w:t>
            </w:r>
            <w:bookmarkEnd w:id="11"/>
          </w:p>
        </w:tc>
        <w:tc>
          <w:tcPr>
            <w:tcW w:w="5716" w:type="dxa"/>
          </w:tcPr>
          <w:p w14:paraId="612F460F" w14:textId="77777777" w:rsidR="00BB5FCA" w:rsidRPr="008169ED" w:rsidRDefault="00BB5FCA" w:rsidP="008B678F">
            <w:pPr>
              <w:jc w:val="center"/>
              <w:rPr>
                <w:b/>
                <w:color w:val="0070C0"/>
              </w:rPr>
            </w:pPr>
            <w:r w:rsidRPr="00AB2AB0">
              <w:rPr>
                <w:rStyle w:val="IntenseEmphasis"/>
              </w:rPr>
              <w:t>Accomplishments</w:t>
            </w:r>
          </w:p>
        </w:tc>
      </w:tr>
      <w:tr w:rsidR="008169ED" w14:paraId="3689906F" w14:textId="77777777" w:rsidTr="00A0700E">
        <w:tc>
          <w:tcPr>
            <w:tcW w:w="3860" w:type="dxa"/>
          </w:tcPr>
          <w:p w14:paraId="1D88C2E0" w14:textId="77777777" w:rsidR="008169ED" w:rsidRDefault="003A24E3" w:rsidP="008B678F">
            <w:r>
              <w:t>Provide valuable resources through system-wide communication and education to assist campuses in meeting their objectives.</w:t>
            </w:r>
          </w:p>
        </w:tc>
        <w:tc>
          <w:tcPr>
            <w:tcW w:w="5716" w:type="dxa"/>
          </w:tcPr>
          <w:p w14:paraId="1293789B" w14:textId="5018E284" w:rsidR="007D6F1E" w:rsidRDefault="00CA1EE8" w:rsidP="008B678F">
            <w:r>
              <w:t>Provide</w:t>
            </w:r>
            <w:r w:rsidR="003C08D8">
              <w:t>d</w:t>
            </w:r>
            <w:r w:rsidR="007D6F1E">
              <w:t>:</w:t>
            </w:r>
          </w:p>
          <w:p w14:paraId="36758A26" w14:textId="7EAC5507" w:rsidR="00566E6F" w:rsidRDefault="00796FC6" w:rsidP="007D6F1E">
            <w:pPr>
              <w:pStyle w:val="ListParagraph"/>
              <w:numPr>
                <w:ilvl w:val="0"/>
                <w:numId w:val="15"/>
              </w:numPr>
            </w:pPr>
            <w:r>
              <w:t>Presentation on</w:t>
            </w:r>
            <w:r w:rsidR="00566E6F">
              <w:t xml:space="preserve"> internal audit and internal controls to</w:t>
            </w:r>
            <w:r w:rsidR="0016133D">
              <w:t xml:space="preserve"> UAF</w:t>
            </w:r>
            <w:r w:rsidR="00566E6F">
              <w:t xml:space="preserve"> grants and contracts personnel</w:t>
            </w:r>
            <w:r>
              <w:t>.</w:t>
            </w:r>
          </w:p>
          <w:p w14:paraId="30CAEBFF" w14:textId="72986761" w:rsidR="003C08D8" w:rsidRDefault="003459B5" w:rsidP="007D6F1E">
            <w:pPr>
              <w:pStyle w:val="ListParagraph"/>
              <w:numPr>
                <w:ilvl w:val="0"/>
                <w:numId w:val="15"/>
              </w:numPr>
            </w:pPr>
            <w:r>
              <w:t>S</w:t>
            </w:r>
            <w:r w:rsidR="003C08D8">
              <w:t>tatistics on the reports received through the UA Confidential Hotline and directly to A&amp;CS.</w:t>
            </w:r>
          </w:p>
          <w:p w14:paraId="5522F240" w14:textId="6EA01F47" w:rsidR="00A75058" w:rsidRDefault="00A75058" w:rsidP="009E390E">
            <w:pPr>
              <w:pStyle w:val="ListParagraph"/>
              <w:numPr>
                <w:ilvl w:val="0"/>
                <w:numId w:val="15"/>
              </w:numPr>
            </w:pPr>
            <w:r>
              <w:t>Information about fraud and emerging risks occurring at other higher education institutions.</w:t>
            </w:r>
          </w:p>
          <w:p w14:paraId="3A23D60A" w14:textId="2044918A" w:rsidR="009F692C" w:rsidRDefault="007D6F1E" w:rsidP="009E390E">
            <w:pPr>
              <w:pStyle w:val="ListParagraph"/>
              <w:numPr>
                <w:ilvl w:val="0"/>
                <w:numId w:val="15"/>
              </w:numPr>
            </w:pPr>
            <w:r>
              <w:t>R</w:t>
            </w:r>
            <w:r w:rsidR="00CA1EE8">
              <w:t>esources on</w:t>
            </w:r>
            <w:r w:rsidR="00D10E60">
              <w:t xml:space="preserve"> risk assessment processes and enterprise risk management theory.</w:t>
            </w:r>
          </w:p>
          <w:p w14:paraId="0BD70A10" w14:textId="77777777" w:rsidR="009F692C" w:rsidRDefault="009F692C" w:rsidP="008B678F">
            <w:pPr>
              <w:pStyle w:val="ListParagraph"/>
              <w:numPr>
                <w:ilvl w:val="0"/>
                <w:numId w:val="15"/>
              </w:numPr>
            </w:pPr>
            <w:r>
              <w:t>Up-to-date information on the department website:</w:t>
            </w:r>
          </w:p>
          <w:p w14:paraId="53A9C5C7" w14:textId="77777777" w:rsidR="009F692C" w:rsidRDefault="00FE62C9" w:rsidP="009F692C">
            <w:pPr>
              <w:pStyle w:val="ListParagraph"/>
            </w:pPr>
            <w:hyperlink r:id="rId18" w:history="1">
              <w:r w:rsidR="009F692C" w:rsidRPr="00D83309">
                <w:rPr>
                  <w:rStyle w:val="Hyperlink"/>
                </w:rPr>
                <w:t>www.alaska.edu/audit</w:t>
              </w:r>
            </w:hyperlink>
          </w:p>
          <w:p w14:paraId="33154573" w14:textId="77777777" w:rsidR="00D976EC" w:rsidRDefault="00D976EC" w:rsidP="00D976EC"/>
          <w:p w14:paraId="690B1290" w14:textId="77777777" w:rsidR="003C08D8" w:rsidRDefault="003C08D8" w:rsidP="003C08D8">
            <w:r>
              <w:t>Regularly attended board and executive leadership team meetings to remain current on institutional changes and provide consultation on current issues and initiatives.</w:t>
            </w:r>
          </w:p>
          <w:p w14:paraId="68D41E37" w14:textId="77777777" w:rsidR="003C08D8" w:rsidRDefault="003C08D8" w:rsidP="004F4DD5"/>
          <w:p w14:paraId="521624AB" w14:textId="77777777" w:rsidR="002900F5" w:rsidRDefault="002F0B4F" w:rsidP="004F4DD5">
            <w:r>
              <w:t>Discussed compliance and information security within ad-hoc</w:t>
            </w:r>
            <w:r w:rsidR="00791B6E">
              <w:t xml:space="preserve"> and formal</w:t>
            </w:r>
            <w:r>
              <w:t xml:space="preserve"> committees.</w:t>
            </w:r>
          </w:p>
        </w:tc>
      </w:tr>
    </w:tbl>
    <w:p w14:paraId="5676C3C5" w14:textId="50853460" w:rsidR="007E7985" w:rsidRPr="00AF1B2F" w:rsidRDefault="007E7985" w:rsidP="009B6258">
      <w:pPr>
        <w:pStyle w:val="Heading1"/>
        <w:spacing w:after="240"/>
        <w:rPr>
          <w:rFonts w:eastAsia="Times New Roman" w:cs="Times New Roman"/>
          <w:b/>
        </w:rPr>
      </w:pPr>
      <w:r>
        <w:br w:type="page"/>
      </w:r>
      <w:bookmarkStart w:id="12" w:name="_Toc490488569"/>
      <w:r w:rsidRPr="005A75BF">
        <w:lastRenderedPageBreak/>
        <w:t>Status of FY201</w:t>
      </w:r>
      <w:r w:rsidR="009E390E">
        <w:t>8</w:t>
      </w:r>
      <w:r w:rsidRPr="005A75BF">
        <w:t xml:space="preserve"> Annual Audit Plan</w:t>
      </w:r>
      <w:bookmarkEnd w:id="12"/>
    </w:p>
    <w:p w14:paraId="2541476B" w14:textId="597C0ED6" w:rsidR="007E7985" w:rsidRPr="009B6258" w:rsidRDefault="007E7985" w:rsidP="009B6258">
      <w:pPr>
        <w:spacing w:line="240" w:lineRule="auto"/>
        <w:rPr>
          <w:i/>
        </w:rPr>
      </w:pPr>
      <w:r w:rsidRPr="009B6258">
        <w:rPr>
          <w:i/>
        </w:rPr>
        <w:t xml:space="preserve">As of </w:t>
      </w:r>
      <w:r w:rsidR="009B6258" w:rsidRPr="009B6258">
        <w:rPr>
          <w:i/>
        </w:rPr>
        <w:t>August</w:t>
      </w:r>
      <w:r w:rsidRPr="009B6258">
        <w:rPr>
          <w:i/>
        </w:rPr>
        <w:t xml:space="preserve"> 201</w:t>
      </w:r>
      <w:r w:rsidR="009E390E">
        <w:rPr>
          <w:i/>
        </w:rPr>
        <w:t>7</w:t>
      </w:r>
    </w:p>
    <w:p w14:paraId="545D8818" w14:textId="77777777" w:rsidR="007E7985" w:rsidRPr="00AF1B2F" w:rsidRDefault="007E7985" w:rsidP="009B6258">
      <w:pPr>
        <w:spacing w:after="120" w:line="240" w:lineRule="auto"/>
        <w:rPr>
          <w:rFonts w:eastAsia="Times New Roman" w:cs="Times New Roman"/>
          <w:szCs w:val="20"/>
        </w:rPr>
      </w:pPr>
      <w:r w:rsidRPr="00AF1B2F">
        <w:rPr>
          <w:rFonts w:eastAsia="Times New Roman" w:cs="Times New Roman"/>
          <w:i/>
          <w:szCs w:val="20"/>
        </w:rPr>
        <w:t xml:space="preserve">Italic Items </w:t>
      </w:r>
      <w:r w:rsidRPr="00AF1B2F">
        <w:rPr>
          <w:rFonts w:eastAsia="Times New Roman" w:cs="Times New Roman"/>
          <w:szCs w:val="20"/>
        </w:rPr>
        <w:t xml:space="preserve">- </w:t>
      </w:r>
      <w:r w:rsidR="00A26E61">
        <w:rPr>
          <w:rFonts w:eastAsia="Times New Roman" w:cs="Times New Roman"/>
          <w:szCs w:val="20"/>
        </w:rPr>
        <w:t>H</w:t>
      </w:r>
      <w:r w:rsidRPr="00AF1B2F">
        <w:rPr>
          <w:rFonts w:eastAsia="Times New Roman" w:cs="Times New Roman"/>
          <w:szCs w:val="20"/>
        </w:rPr>
        <w:t>ave been completed or are in progress</w:t>
      </w:r>
    </w:p>
    <w:p w14:paraId="233AF1B6" w14:textId="65B27B40" w:rsidR="007E7985" w:rsidRPr="00AF1B2F" w:rsidRDefault="007E7985" w:rsidP="00FA3BCD">
      <w:pPr>
        <w:pStyle w:val="Heading2"/>
        <w:rPr>
          <w:rFonts w:eastAsia="Times New Roman"/>
        </w:rPr>
      </w:pPr>
      <w:bookmarkStart w:id="13" w:name="_Toc490488570"/>
      <w:r w:rsidRPr="00C4028F">
        <w:rPr>
          <w:rStyle w:val="Heading2Char"/>
        </w:rPr>
        <w:t>External Financial Audit Support</w:t>
      </w:r>
      <w:bookmarkEnd w:id="13"/>
    </w:p>
    <w:p w14:paraId="2757A9A9" w14:textId="77777777" w:rsidR="007E7985" w:rsidRPr="00AF1B2F" w:rsidRDefault="007E7985" w:rsidP="007E7985">
      <w:pPr>
        <w:spacing w:after="0" w:line="240" w:lineRule="auto"/>
        <w:ind w:left="720"/>
        <w:rPr>
          <w:rFonts w:eastAsia="Times New Roman" w:cs="Times New Roman"/>
          <w:szCs w:val="20"/>
        </w:rPr>
      </w:pPr>
    </w:p>
    <w:p w14:paraId="69148A5D" w14:textId="77777777" w:rsidR="007E7985" w:rsidRPr="00AF1B2F" w:rsidRDefault="007E7985" w:rsidP="007E7985">
      <w:pPr>
        <w:spacing w:after="0" w:line="240" w:lineRule="auto"/>
        <w:rPr>
          <w:rFonts w:eastAsia="Times New Roman" w:cs="Times New Roman"/>
          <w:szCs w:val="20"/>
        </w:rPr>
        <w:sectPr w:rsidR="007E7985" w:rsidRPr="00AF1B2F" w:rsidSect="00CA775D">
          <w:footerReference w:type="default" r:id="rId19"/>
          <w:pgSz w:w="12240" w:h="15840"/>
          <w:pgMar w:top="1440" w:right="1440" w:bottom="1440" w:left="1440" w:header="720" w:footer="720" w:gutter="0"/>
          <w:pgNumType w:start="1"/>
          <w:cols w:space="720"/>
          <w:titlePg/>
        </w:sectPr>
      </w:pPr>
    </w:p>
    <w:p w14:paraId="540D070C" w14:textId="77777777" w:rsidR="007E7985" w:rsidRPr="00AF1B2F" w:rsidRDefault="007E7985" w:rsidP="007E7985">
      <w:pPr>
        <w:spacing w:after="0" w:line="240" w:lineRule="auto"/>
        <w:ind w:left="720"/>
        <w:rPr>
          <w:rFonts w:eastAsia="Times New Roman" w:cs="Times New Roman"/>
          <w:i/>
          <w:szCs w:val="20"/>
        </w:rPr>
      </w:pPr>
      <w:r w:rsidRPr="00AF1B2F">
        <w:rPr>
          <w:rFonts w:eastAsia="Times New Roman" w:cs="Times New Roman"/>
          <w:i/>
          <w:szCs w:val="20"/>
        </w:rPr>
        <w:t>Payroll</w:t>
      </w:r>
    </w:p>
    <w:p w14:paraId="12D43B77" w14:textId="77777777" w:rsidR="007E7985" w:rsidRPr="00AF1B2F" w:rsidRDefault="007E7985" w:rsidP="007E7985">
      <w:pPr>
        <w:spacing w:after="0" w:line="240" w:lineRule="auto"/>
        <w:ind w:left="720"/>
        <w:rPr>
          <w:rFonts w:eastAsia="Times New Roman" w:cs="Times New Roman"/>
          <w:i/>
          <w:szCs w:val="20"/>
        </w:rPr>
      </w:pPr>
      <w:r w:rsidRPr="00AF1B2F">
        <w:rPr>
          <w:rFonts w:eastAsia="Times New Roman" w:cs="Times New Roman"/>
          <w:i/>
          <w:szCs w:val="20"/>
        </w:rPr>
        <w:t>Journal Entries</w:t>
      </w:r>
    </w:p>
    <w:p w14:paraId="72FA117B" w14:textId="77777777" w:rsidR="007E7985" w:rsidRPr="00AF1B2F" w:rsidRDefault="00941E0D" w:rsidP="007E7985">
      <w:pPr>
        <w:spacing w:after="0" w:line="240" w:lineRule="auto"/>
        <w:ind w:left="720"/>
        <w:rPr>
          <w:rFonts w:eastAsia="Times New Roman" w:cs="Times New Roman"/>
          <w:i/>
          <w:szCs w:val="20"/>
        </w:rPr>
      </w:pPr>
      <w:r>
        <w:rPr>
          <w:rFonts w:eastAsia="Times New Roman" w:cs="Times New Roman"/>
          <w:i/>
          <w:szCs w:val="20"/>
        </w:rPr>
        <w:t>Cash Disbursements</w:t>
      </w:r>
    </w:p>
    <w:p w14:paraId="7E7D7FEF" w14:textId="77777777" w:rsidR="00941E0D" w:rsidRDefault="00941E0D" w:rsidP="007E7985">
      <w:pPr>
        <w:spacing w:after="0" w:line="240" w:lineRule="auto"/>
        <w:ind w:left="720"/>
        <w:rPr>
          <w:rFonts w:eastAsia="Times New Roman" w:cs="Times New Roman"/>
          <w:i/>
          <w:szCs w:val="20"/>
        </w:rPr>
      </w:pPr>
      <w:r>
        <w:rPr>
          <w:rFonts w:eastAsia="Times New Roman" w:cs="Times New Roman"/>
          <w:i/>
          <w:szCs w:val="20"/>
        </w:rPr>
        <w:t>Tuition and Fees</w:t>
      </w:r>
    </w:p>
    <w:p w14:paraId="2FA1F587" w14:textId="77777777" w:rsidR="00941E0D" w:rsidRPr="00AF1B2F" w:rsidRDefault="00941E0D" w:rsidP="007E7985">
      <w:pPr>
        <w:spacing w:after="0" w:line="240" w:lineRule="auto"/>
        <w:ind w:left="720"/>
        <w:rPr>
          <w:rFonts w:eastAsia="Times New Roman" w:cs="Times New Roman"/>
          <w:i/>
          <w:szCs w:val="20"/>
        </w:rPr>
      </w:pPr>
      <w:r>
        <w:rPr>
          <w:rFonts w:eastAsia="Times New Roman" w:cs="Times New Roman"/>
          <w:i/>
          <w:szCs w:val="20"/>
        </w:rPr>
        <w:t>Wires</w:t>
      </w:r>
    </w:p>
    <w:p w14:paraId="7354FFB3" w14:textId="77777777" w:rsidR="007E7985" w:rsidRPr="00AF1B2F" w:rsidRDefault="00941E0D" w:rsidP="007E7985">
      <w:pPr>
        <w:spacing w:after="0" w:line="240" w:lineRule="auto"/>
        <w:ind w:left="720"/>
        <w:rPr>
          <w:rFonts w:eastAsia="Times New Roman" w:cs="Times New Roman"/>
          <w:i/>
          <w:szCs w:val="20"/>
        </w:rPr>
      </w:pPr>
      <w:r>
        <w:rPr>
          <w:rFonts w:eastAsia="Times New Roman" w:cs="Times New Roman"/>
          <w:i/>
          <w:szCs w:val="20"/>
        </w:rPr>
        <w:t>Procurement Card</w:t>
      </w:r>
    </w:p>
    <w:p w14:paraId="1EE2770E" w14:textId="77777777" w:rsidR="007E7985" w:rsidRPr="00941E0D" w:rsidRDefault="007E7985" w:rsidP="007E7985">
      <w:pPr>
        <w:spacing w:after="0" w:line="240" w:lineRule="auto"/>
        <w:ind w:left="720"/>
        <w:rPr>
          <w:rFonts w:eastAsia="Times New Roman" w:cs="Times New Roman"/>
          <w:szCs w:val="20"/>
        </w:rPr>
      </w:pPr>
      <w:r w:rsidRPr="00941E0D">
        <w:rPr>
          <w:rFonts w:eastAsia="Times New Roman" w:cs="Times New Roman"/>
          <w:szCs w:val="20"/>
        </w:rPr>
        <w:t>Search for Unrecorded Liabilities</w:t>
      </w:r>
    </w:p>
    <w:p w14:paraId="70FE25D4" w14:textId="77777777" w:rsidR="007E7985" w:rsidRPr="001C1AEC" w:rsidRDefault="001C1AEC" w:rsidP="007E7985">
      <w:pPr>
        <w:spacing w:after="0" w:line="240" w:lineRule="auto"/>
        <w:ind w:left="720"/>
        <w:rPr>
          <w:rFonts w:eastAsia="Times New Roman" w:cs="Times New Roman"/>
          <w:szCs w:val="20"/>
        </w:rPr>
      </w:pPr>
      <w:r w:rsidRPr="001C1AEC">
        <w:rPr>
          <w:rFonts w:eastAsia="Times New Roman" w:cs="Times New Roman"/>
          <w:szCs w:val="20"/>
        </w:rPr>
        <w:t>Property</w:t>
      </w:r>
    </w:p>
    <w:p w14:paraId="60FE3CBC" w14:textId="77777777" w:rsidR="001C1AEC" w:rsidRPr="001C1AEC" w:rsidRDefault="001C1AEC" w:rsidP="001C1AEC">
      <w:pPr>
        <w:spacing w:after="0" w:line="240" w:lineRule="auto"/>
        <w:rPr>
          <w:rFonts w:eastAsia="Times New Roman" w:cs="Times New Roman"/>
          <w:szCs w:val="20"/>
        </w:rPr>
        <w:sectPr w:rsidR="001C1AEC" w:rsidRPr="001C1AEC">
          <w:type w:val="continuous"/>
          <w:pgSz w:w="12240" w:h="15840"/>
          <w:pgMar w:top="1440" w:right="1440" w:bottom="1440" w:left="1440" w:header="720" w:footer="720" w:gutter="0"/>
          <w:cols w:num="2" w:space="720"/>
          <w:titlePg/>
        </w:sectPr>
      </w:pPr>
    </w:p>
    <w:p w14:paraId="146CE8EB" w14:textId="77777777" w:rsidR="00941E0D" w:rsidRDefault="00941E0D" w:rsidP="007E7985">
      <w:pPr>
        <w:spacing w:after="0" w:line="240" w:lineRule="auto"/>
        <w:ind w:left="720"/>
        <w:jc w:val="center"/>
        <w:rPr>
          <w:rFonts w:eastAsia="Times New Roman" w:cs="Times New Roman"/>
          <w:szCs w:val="20"/>
          <w:u w:val="single"/>
        </w:rPr>
      </w:pPr>
    </w:p>
    <w:p w14:paraId="31303313" w14:textId="0B2F2BEF" w:rsidR="007E7985" w:rsidRPr="00AF1B2F" w:rsidRDefault="007E7985" w:rsidP="00FA3BCD">
      <w:pPr>
        <w:pStyle w:val="Heading2"/>
        <w:rPr>
          <w:rFonts w:eastAsia="Times New Roman"/>
        </w:rPr>
      </w:pPr>
      <w:bookmarkStart w:id="14" w:name="_Toc490488571"/>
      <w:r w:rsidRPr="00C4028F">
        <w:rPr>
          <w:rStyle w:val="Heading2Char"/>
        </w:rPr>
        <w:t>Audits and Projects</w:t>
      </w:r>
      <w:bookmarkEnd w:id="14"/>
    </w:p>
    <w:p w14:paraId="2124201E" w14:textId="77777777" w:rsidR="007E7985" w:rsidRPr="00AF1B2F" w:rsidRDefault="007E7985" w:rsidP="00431B78">
      <w:pPr>
        <w:spacing w:after="0" w:line="240" w:lineRule="auto"/>
        <w:rPr>
          <w:rFonts w:eastAsia="Times New Roman" w:cs="Times New Roman"/>
          <w:szCs w:val="20"/>
        </w:rPr>
        <w:sectPr w:rsidR="007E7985" w:rsidRPr="00AF1B2F">
          <w:type w:val="continuous"/>
          <w:pgSz w:w="12240" w:h="15840"/>
          <w:pgMar w:top="1440" w:right="1440" w:bottom="1440" w:left="1440" w:header="720" w:footer="720" w:gutter="0"/>
          <w:cols w:space="720"/>
          <w:titlePg/>
        </w:sectPr>
      </w:pPr>
    </w:p>
    <w:p w14:paraId="56A75A0E" w14:textId="138F4350" w:rsidR="00BB5364" w:rsidRDefault="00D35BC1" w:rsidP="00CD00FB">
      <w:pPr>
        <w:spacing w:before="240"/>
        <w:ind w:firstLine="720"/>
      </w:pPr>
      <w:bookmarkStart w:id="15" w:name="_Toc490488572"/>
      <w:r>
        <w:rPr>
          <w:rStyle w:val="Heading3Char"/>
        </w:rPr>
        <w:t>Compliance</w:t>
      </w:r>
      <w:r w:rsidR="00BB5364" w:rsidRPr="0004011C">
        <w:rPr>
          <w:rStyle w:val="Heading3Char"/>
        </w:rPr>
        <w:t xml:space="preserve"> Reviews</w:t>
      </w:r>
      <w:bookmarkEnd w:id="15"/>
      <w:r w:rsidR="00BA3F39">
        <w:t>*</w:t>
      </w:r>
    </w:p>
    <w:p w14:paraId="44D7E001" w14:textId="0B5E11BA" w:rsidR="00BB5364" w:rsidRPr="00BB5364" w:rsidRDefault="00BB5364" w:rsidP="00CD00FB">
      <w:pPr>
        <w:numPr>
          <w:ilvl w:val="0"/>
          <w:numId w:val="30"/>
        </w:numPr>
        <w:spacing w:after="0" w:line="240" w:lineRule="auto"/>
      </w:pPr>
      <w:r w:rsidRPr="00BB5364">
        <w:t>Clery Act</w:t>
      </w:r>
    </w:p>
    <w:p w14:paraId="7FC004DC" w14:textId="6F88AD92" w:rsidR="00BB5364" w:rsidRPr="00D35BC1" w:rsidRDefault="00D35BC1" w:rsidP="00CD00FB">
      <w:pPr>
        <w:numPr>
          <w:ilvl w:val="0"/>
          <w:numId w:val="30"/>
        </w:numPr>
        <w:spacing w:after="0" w:line="240" w:lineRule="auto"/>
        <w:rPr>
          <w:i/>
        </w:rPr>
      </w:pPr>
      <w:r w:rsidRPr="00D35BC1">
        <w:rPr>
          <w:i/>
        </w:rPr>
        <w:t>Gramm, Leach Bliley Act</w:t>
      </w:r>
    </w:p>
    <w:p w14:paraId="1CE3F05C" w14:textId="6977A40F" w:rsidR="00D35BC1" w:rsidRPr="00E80A52" w:rsidRDefault="00D35BC1" w:rsidP="00CD00FB">
      <w:pPr>
        <w:numPr>
          <w:ilvl w:val="0"/>
          <w:numId w:val="30"/>
        </w:numPr>
        <w:spacing w:after="0" w:line="240" w:lineRule="auto"/>
        <w:rPr>
          <w:i/>
        </w:rPr>
      </w:pPr>
      <w:r w:rsidRPr="00E80A52">
        <w:rPr>
          <w:i/>
        </w:rPr>
        <w:t>Subrecipient Monitoring</w:t>
      </w:r>
    </w:p>
    <w:p w14:paraId="23142FE2" w14:textId="7FA750FB" w:rsidR="001265E6" w:rsidRPr="00431B78" w:rsidRDefault="001265E6" w:rsidP="00CD00FB">
      <w:pPr>
        <w:spacing w:before="240"/>
        <w:ind w:firstLine="720"/>
        <w:rPr>
          <w:rStyle w:val="Heading3Char"/>
        </w:rPr>
      </w:pPr>
      <w:bookmarkStart w:id="16" w:name="_Toc490488573"/>
      <w:r w:rsidRPr="0004011C">
        <w:rPr>
          <w:rStyle w:val="Heading3Char"/>
        </w:rPr>
        <w:t>Function and System Reviews</w:t>
      </w:r>
      <w:r w:rsidRPr="00431B78">
        <w:rPr>
          <w:rStyle w:val="Heading3Char"/>
        </w:rPr>
        <w:t>*</w:t>
      </w:r>
      <w:r w:rsidR="00BB5364" w:rsidRPr="00431B78">
        <w:rPr>
          <w:rStyle w:val="Heading3Char"/>
        </w:rPr>
        <w:t>*</w:t>
      </w:r>
      <w:bookmarkEnd w:id="16"/>
    </w:p>
    <w:p w14:paraId="587DB489" w14:textId="35617115" w:rsidR="001265E6" w:rsidRPr="00BB5364" w:rsidRDefault="00D35BC1" w:rsidP="00CD00FB">
      <w:pPr>
        <w:numPr>
          <w:ilvl w:val="0"/>
          <w:numId w:val="31"/>
        </w:numPr>
        <w:spacing w:after="0" w:line="240" w:lineRule="auto"/>
      </w:pPr>
      <w:r>
        <w:t>Loss Prevention</w:t>
      </w:r>
    </w:p>
    <w:p w14:paraId="6983D7E4" w14:textId="39384C4F" w:rsidR="001265E6" w:rsidRPr="00A26E61" w:rsidRDefault="00D35BC1" w:rsidP="00CD00FB">
      <w:pPr>
        <w:numPr>
          <w:ilvl w:val="0"/>
          <w:numId w:val="31"/>
        </w:numPr>
        <w:spacing w:after="0" w:line="240" w:lineRule="auto"/>
      </w:pPr>
      <w:r>
        <w:t>Revenues and Banking</w:t>
      </w:r>
    </w:p>
    <w:p w14:paraId="01FE23CB" w14:textId="1A7CCD0B" w:rsidR="001265E6" w:rsidRPr="00D35BC1" w:rsidRDefault="00D35BC1" w:rsidP="00CD00FB">
      <w:pPr>
        <w:numPr>
          <w:ilvl w:val="0"/>
          <w:numId w:val="31"/>
        </w:numPr>
        <w:spacing w:after="0" w:line="240" w:lineRule="auto"/>
        <w:rPr>
          <w:i/>
        </w:rPr>
      </w:pPr>
      <w:r w:rsidRPr="00D35BC1">
        <w:rPr>
          <w:i/>
        </w:rPr>
        <w:t>Tuition and Fees</w:t>
      </w:r>
    </w:p>
    <w:p w14:paraId="0DAFCDAF" w14:textId="3F0FA4F6" w:rsidR="001265E6" w:rsidRDefault="00D35BC1" w:rsidP="00CD00FB">
      <w:pPr>
        <w:numPr>
          <w:ilvl w:val="0"/>
          <w:numId w:val="31"/>
        </w:numPr>
        <w:spacing w:after="0" w:line="240" w:lineRule="auto"/>
      </w:pPr>
      <w:r>
        <w:t>Ethics/Conflict of Interest</w:t>
      </w:r>
    </w:p>
    <w:p w14:paraId="14E562E5" w14:textId="56384CEE" w:rsidR="00D35BC1" w:rsidRPr="00A26E61" w:rsidRDefault="00D35BC1" w:rsidP="00CD00FB">
      <w:pPr>
        <w:numPr>
          <w:ilvl w:val="0"/>
          <w:numId w:val="31"/>
        </w:numPr>
        <w:spacing w:after="0" w:line="240" w:lineRule="auto"/>
      </w:pPr>
      <w:r>
        <w:t>Business Offices</w:t>
      </w:r>
    </w:p>
    <w:p w14:paraId="426AB3E5" w14:textId="088F61CB" w:rsidR="001265E6" w:rsidRPr="00431B78" w:rsidRDefault="001265E6" w:rsidP="00CD00FB">
      <w:pPr>
        <w:spacing w:before="240"/>
        <w:ind w:firstLine="720"/>
        <w:rPr>
          <w:rStyle w:val="Heading3Char"/>
        </w:rPr>
      </w:pPr>
      <w:bookmarkStart w:id="17" w:name="_Toc490488574"/>
      <w:r w:rsidRPr="0004011C">
        <w:rPr>
          <w:rStyle w:val="Heading3Char"/>
        </w:rPr>
        <w:t>Information Systems Reviews</w:t>
      </w:r>
      <w:r w:rsidR="00BB5364">
        <w:rPr>
          <w:rStyle w:val="Heading3Char"/>
        </w:rPr>
        <w:t>**</w:t>
      </w:r>
      <w:bookmarkEnd w:id="17"/>
    </w:p>
    <w:p w14:paraId="47CCDA3B" w14:textId="5D08E47D" w:rsidR="00616061" w:rsidRDefault="00D35BC1" w:rsidP="00CD00FB">
      <w:pPr>
        <w:numPr>
          <w:ilvl w:val="0"/>
          <w:numId w:val="34"/>
        </w:numPr>
        <w:spacing w:after="0" w:line="240" w:lineRule="auto"/>
      </w:pPr>
      <w:r>
        <w:t>Data Centers</w:t>
      </w:r>
    </w:p>
    <w:p w14:paraId="67AC6E1B" w14:textId="5F415F4E" w:rsidR="00D35BC1" w:rsidRDefault="00D35BC1" w:rsidP="00CD00FB">
      <w:pPr>
        <w:numPr>
          <w:ilvl w:val="0"/>
          <w:numId w:val="34"/>
        </w:numPr>
        <w:spacing w:after="0" w:line="240" w:lineRule="auto"/>
      </w:pPr>
      <w:r>
        <w:t>Network</w:t>
      </w:r>
    </w:p>
    <w:p w14:paraId="393271B8" w14:textId="4FD40CA5" w:rsidR="00D35BC1" w:rsidRPr="00616061" w:rsidRDefault="00D35BC1" w:rsidP="00CD00FB">
      <w:pPr>
        <w:numPr>
          <w:ilvl w:val="0"/>
          <w:numId w:val="34"/>
        </w:numPr>
        <w:spacing w:after="0" w:line="240" w:lineRule="auto"/>
      </w:pPr>
      <w:r>
        <w:t>Oracle Database</w:t>
      </w:r>
    </w:p>
    <w:p w14:paraId="1C14D4DB" w14:textId="21244C49" w:rsidR="007E7985" w:rsidRPr="00431B78" w:rsidRDefault="007E7985" w:rsidP="00CD00FB">
      <w:pPr>
        <w:spacing w:before="240"/>
        <w:ind w:firstLine="720"/>
        <w:rPr>
          <w:rStyle w:val="Heading3Char"/>
        </w:rPr>
      </w:pPr>
      <w:bookmarkStart w:id="18" w:name="_Toc490488575"/>
      <w:r w:rsidRPr="0004011C">
        <w:rPr>
          <w:rStyle w:val="Heading3Char"/>
        </w:rPr>
        <w:t>Ongoing Audits</w:t>
      </w:r>
      <w:bookmarkEnd w:id="18"/>
    </w:p>
    <w:p w14:paraId="6636A31B" w14:textId="77777777" w:rsidR="007E7985" w:rsidRPr="00616061" w:rsidRDefault="007E7985" w:rsidP="00CD00FB">
      <w:pPr>
        <w:pStyle w:val="ListParagraph"/>
        <w:numPr>
          <w:ilvl w:val="0"/>
          <w:numId w:val="32"/>
        </w:numPr>
        <w:spacing w:after="0" w:line="240" w:lineRule="auto"/>
        <w:rPr>
          <w:rFonts w:eastAsia="Times New Roman" w:cs="Times New Roman"/>
          <w:i/>
          <w:szCs w:val="20"/>
        </w:rPr>
      </w:pPr>
      <w:r w:rsidRPr="00616061">
        <w:rPr>
          <w:rFonts w:eastAsia="Times New Roman" w:cs="Times New Roman"/>
          <w:i/>
          <w:szCs w:val="20"/>
        </w:rPr>
        <w:t>Follow-up Auditing</w:t>
      </w:r>
    </w:p>
    <w:p w14:paraId="591C42EF" w14:textId="16BD1466" w:rsidR="007E7985" w:rsidRPr="00616061" w:rsidRDefault="00986D58" w:rsidP="00CD00FB">
      <w:pPr>
        <w:pStyle w:val="ListParagraph"/>
        <w:numPr>
          <w:ilvl w:val="0"/>
          <w:numId w:val="32"/>
        </w:numPr>
        <w:spacing w:after="0" w:line="240" w:lineRule="auto"/>
        <w:rPr>
          <w:rFonts w:eastAsia="Times New Roman" w:cs="Times New Roman"/>
          <w:i/>
          <w:szCs w:val="20"/>
        </w:rPr>
      </w:pPr>
      <w:r>
        <w:rPr>
          <w:rFonts w:eastAsia="Times New Roman" w:cs="Times New Roman"/>
          <w:i/>
          <w:szCs w:val="20"/>
        </w:rPr>
        <w:t>Continuous Controls Auditing</w:t>
      </w:r>
    </w:p>
    <w:p w14:paraId="2C40BBE4" w14:textId="77777777" w:rsidR="007E7985" w:rsidRDefault="007E7985" w:rsidP="00CD00FB">
      <w:pPr>
        <w:spacing w:after="0" w:line="240" w:lineRule="auto"/>
        <w:ind w:left="990" w:hanging="360"/>
        <w:rPr>
          <w:rFonts w:eastAsia="Times New Roman" w:cs="Times New Roman"/>
          <w:szCs w:val="20"/>
          <w:highlight w:val="yellow"/>
        </w:rPr>
      </w:pPr>
    </w:p>
    <w:p w14:paraId="48EC1EF3" w14:textId="77777777" w:rsidR="00D35BC1" w:rsidRDefault="00D35BC1" w:rsidP="00CD00FB">
      <w:pPr>
        <w:spacing w:after="0" w:line="240" w:lineRule="auto"/>
        <w:ind w:left="990" w:hanging="360"/>
        <w:rPr>
          <w:rFonts w:eastAsia="Times New Roman" w:cs="Times New Roman"/>
          <w:szCs w:val="20"/>
          <w:highlight w:val="yellow"/>
        </w:rPr>
      </w:pPr>
    </w:p>
    <w:p w14:paraId="256C3DF9" w14:textId="77777777" w:rsidR="00D35BC1" w:rsidRDefault="00D35BC1" w:rsidP="00CD00FB">
      <w:pPr>
        <w:spacing w:after="0" w:line="240" w:lineRule="auto"/>
        <w:ind w:left="990" w:hanging="360"/>
        <w:rPr>
          <w:rFonts w:eastAsia="Times New Roman" w:cs="Times New Roman"/>
          <w:szCs w:val="20"/>
          <w:highlight w:val="yellow"/>
        </w:rPr>
      </w:pPr>
    </w:p>
    <w:p w14:paraId="3C1F6174" w14:textId="77777777" w:rsidR="00D35BC1" w:rsidRDefault="00D35BC1" w:rsidP="00CD00FB">
      <w:pPr>
        <w:spacing w:after="0" w:line="240" w:lineRule="auto"/>
        <w:ind w:left="990" w:hanging="360"/>
        <w:rPr>
          <w:rFonts w:eastAsia="Times New Roman" w:cs="Times New Roman"/>
          <w:szCs w:val="20"/>
          <w:highlight w:val="yellow"/>
        </w:rPr>
      </w:pPr>
    </w:p>
    <w:p w14:paraId="373B87C7" w14:textId="77777777" w:rsidR="00445E13" w:rsidRDefault="00445E13" w:rsidP="00CD00FB">
      <w:pPr>
        <w:spacing w:after="0" w:line="240" w:lineRule="auto"/>
        <w:ind w:left="990" w:hanging="360"/>
        <w:rPr>
          <w:rFonts w:eastAsia="Times New Roman" w:cs="Times New Roman"/>
          <w:szCs w:val="20"/>
          <w:highlight w:val="yellow"/>
        </w:rPr>
      </w:pPr>
    </w:p>
    <w:p w14:paraId="0A70F831" w14:textId="77777777" w:rsidR="00986D58" w:rsidRDefault="00986D58" w:rsidP="00CD00FB">
      <w:pPr>
        <w:spacing w:after="0" w:line="240" w:lineRule="auto"/>
        <w:ind w:left="990" w:hanging="360"/>
        <w:rPr>
          <w:rFonts w:eastAsia="Times New Roman" w:cs="Times New Roman"/>
          <w:szCs w:val="20"/>
          <w:highlight w:val="yellow"/>
        </w:rPr>
      </w:pPr>
    </w:p>
    <w:p w14:paraId="01D4BCD5" w14:textId="77777777" w:rsidR="00445E13" w:rsidRDefault="00445E13" w:rsidP="00CD00FB">
      <w:pPr>
        <w:spacing w:after="0" w:line="240" w:lineRule="auto"/>
        <w:ind w:left="990" w:hanging="360"/>
        <w:rPr>
          <w:rFonts w:eastAsia="Times New Roman" w:cs="Times New Roman"/>
          <w:szCs w:val="20"/>
          <w:highlight w:val="yellow"/>
        </w:rPr>
      </w:pPr>
    </w:p>
    <w:p w14:paraId="595CDB32" w14:textId="77777777" w:rsidR="00445E13" w:rsidRDefault="00445E13" w:rsidP="00CD00FB">
      <w:pPr>
        <w:spacing w:after="0" w:line="240" w:lineRule="auto"/>
        <w:ind w:left="990" w:hanging="360"/>
        <w:rPr>
          <w:rFonts w:eastAsia="Times New Roman" w:cs="Times New Roman"/>
          <w:szCs w:val="20"/>
          <w:highlight w:val="yellow"/>
        </w:rPr>
      </w:pPr>
    </w:p>
    <w:p w14:paraId="4A74F757" w14:textId="77777777" w:rsidR="001265E6" w:rsidRPr="00B605FA" w:rsidRDefault="00A26E61" w:rsidP="00CD00FB">
      <w:pPr>
        <w:spacing w:after="120"/>
        <w:ind w:left="720"/>
        <w:rPr>
          <w:sz w:val="20"/>
          <w:szCs w:val="20"/>
          <w:u w:val="single"/>
        </w:rPr>
      </w:pPr>
      <w:r w:rsidRPr="00B605FA">
        <w:rPr>
          <w:sz w:val="20"/>
          <w:szCs w:val="20"/>
          <w:u w:val="single"/>
        </w:rPr>
        <w:t>L</w:t>
      </w:r>
      <w:r w:rsidR="001265E6" w:rsidRPr="00B605FA">
        <w:rPr>
          <w:sz w:val="20"/>
          <w:szCs w:val="20"/>
          <w:u w:val="single"/>
        </w:rPr>
        <w:t>egend:</w:t>
      </w:r>
    </w:p>
    <w:p w14:paraId="7655EEB4" w14:textId="77777777" w:rsidR="00B605FA" w:rsidRPr="00B605FA" w:rsidRDefault="00B605FA" w:rsidP="00653117">
      <w:pPr>
        <w:shd w:val="clear" w:color="auto" w:fill="FFFFFF"/>
        <w:spacing w:after="120" w:line="240" w:lineRule="auto"/>
        <w:ind w:left="720"/>
        <w:rPr>
          <w:color w:val="222222"/>
          <w:sz w:val="20"/>
          <w:szCs w:val="20"/>
        </w:rPr>
      </w:pPr>
      <w:r w:rsidRPr="00B605FA">
        <w:rPr>
          <w:color w:val="222222"/>
          <w:sz w:val="20"/>
          <w:szCs w:val="20"/>
        </w:rPr>
        <w:t>* Specific topics are subject to change as planning discussions are held with each university.  Process reviews will aim to result in the following documentation, as applicable:  Flow chart of the current process, flow chart of the process with future changes (if future changes are indicated by the key departments), and RACI chart.  In some instances, an audit report with recommendations may be warranted.</w:t>
      </w:r>
    </w:p>
    <w:p w14:paraId="59B35F08" w14:textId="77777777" w:rsidR="00B605FA" w:rsidRPr="00B605FA" w:rsidRDefault="00B605FA" w:rsidP="00653117">
      <w:pPr>
        <w:shd w:val="clear" w:color="auto" w:fill="FFFFFF"/>
        <w:spacing w:after="120" w:line="240" w:lineRule="auto"/>
        <w:ind w:left="720"/>
        <w:rPr>
          <w:color w:val="222222"/>
          <w:sz w:val="20"/>
          <w:szCs w:val="20"/>
        </w:rPr>
      </w:pPr>
      <w:r w:rsidRPr="00B605FA">
        <w:rPr>
          <w:color w:val="222222"/>
          <w:sz w:val="20"/>
          <w:szCs w:val="20"/>
        </w:rPr>
        <w:t>** Specific departments/areas to be determined during planning for specified audit or project.  These will be selected from any of the universities or system offices.</w:t>
      </w:r>
    </w:p>
    <w:p w14:paraId="04419276" w14:textId="7C595724" w:rsidR="001265E6" w:rsidRPr="00B605FA" w:rsidRDefault="001265E6" w:rsidP="00653117">
      <w:pPr>
        <w:spacing w:line="240" w:lineRule="auto"/>
        <w:ind w:left="720"/>
        <w:rPr>
          <w:sz w:val="20"/>
          <w:szCs w:val="20"/>
        </w:rPr>
      </w:pPr>
    </w:p>
    <w:p w14:paraId="0F824363" w14:textId="77777777" w:rsidR="002D409B" w:rsidRPr="003817B7" w:rsidRDefault="002D409B" w:rsidP="00C11D46">
      <w:pPr>
        <w:spacing w:after="0" w:line="240" w:lineRule="auto"/>
        <w:rPr>
          <w:rFonts w:eastAsia="Times New Roman" w:cs="Times New Roman"/>
          <w:i/>
          <w:szCs w:val="20"/>
        </w:rPr>
        <w:sectPr w:rsidR="002D409B" w:rsidRPr="003817B7">
          <w:type w:val="continuous"/>
          <w:pgSz w:w="12240" w:h="15840"/>
          <w:pgMar w:top="1440" w:right="1440" w:bottom="1440" w:left="1440" w:header="720" w:footer="720" w:gutter="0"/>
          <w:cols w:num="2" w:space="720"/>
          <w:titlePg/>
        </w:sectPr>
      </w:pPr>
    </w:p>
    <w:p w14:paraId="135FECBB" w14:textId="77777777" w:rsidR="0028490F" w:rsidRPr="0028490F" w:rsidRDefault="0028490F" w:rsidP="0028490F">
      <w:pPr>
        <w:pStyle w:val="Heading1"/>
        <w:spacing w:after="240"/>
      </w:pPr>
      <w:bookmarkStart w:id="19" w:name="_Toc490488576"/>
      <w:r w:rsidRPr="0028490F">
        <w:lastRenderedPageBreak/>
        <w:t>External Audit Status Report</w:t>
      </w:r>
      <w:bookmarkEnd w:id="19"/>
    </w:p>
    <w:p w14:paraId="53EC19D6" w14:textId="69BBC48D" w:rsidR="0028490F" w:rsidRPr="0079256F" w:rsidRDefault="0028490F" w:rsidP="009C68E3">
      <w:pPr>
        <w:pStyle w:val="Heading2"/>
      </w:pPr>
      <w:bookmarkStart w:id="20" w:name="_Toc490488577"/>
      <w:r w:rsidRPr="0079256F">
        <w:t>External Audit Reports &amp; Activities</w:t>
      </w:r>
      <w:bookmarkEnd w:id="20"/>
    </w:p>
    <w:p w14:paraId="23A81198" w14:textId="77777777" w:rsidR="009C68E3" w:rsidRDefault="009C68E3" w:rsidP="0028490F">
      <w:pPr>
        <w:spacing w:after="120"/>
        <w:rPr>
          <w:rFonts w:ascii="Times New Roman" w:hAnsi="Times New Roman"/>
          <w:sz w:val="24"/>
          <w:szCs w:val="24"/>
        </w:rPr>
      </w:pPr>
    </w:p>
    <w:p w14:paraId="01B7A873" w14:textId="77777777" w:rsidR="0028490F" w:rsidRPr="00F66190" w:rsidRDefault="004338EB" w:rsidP="0028490F">
      <w:pPr>
        <w:spacing w:after="120"/>
      </w:pPr>
      <w:r w:rsidRPr="00F66190">
        <w:t xml:space="preserve">Completed: </w:t>
      </w:r>
    </w:p>
    <w:p w14:paraId="66ADF45E" w14:textId="14960A04" w:rsidR="000950C1" w:rsidRPr="00F66190" w:rsidRDefault="000950C1" w:rsidP="000950C1">
      <w:pPr>
        <w:numPr>
          <w:ilvl w:val="0"/>
          <w:numId w:val="24"/>
        </w:numPr>
        <w:spacing w:after="240" w:line="240" w:lineRule="auto"/>
      </w:pPr>
      <w:r w:rsidRPr="00F66190">
        <w:t>FY10-FY11 Fringe Benefit Incurred Costs (DCAA)</w:t>
      </w:r>
      <w:r>
        <w:t xml:space="preserve"> – report pending</w:t>
      </w:r>
    </w:p>
    <w:p w14:paraId="54B04834" w14:textId="265BA90F" w:rsidR="006A6093" w:rsidRDefault="00F66190" w:rsidP="006A6093">
      <w:pPr>
        <w:numPr>
          <w:ilvl w:val="0"/>
          <w:numId w:val="24"/>
        </w:numPr>
        <w:spacing w:after="240" w:line="240" w:lineRule="auto"/>
      </w:pPr>
      <w:r>
        <w:t xml:space="preserve"> </w:t>
      </w:r>
      <w:r w:rsidR="006A6093" w:rsidRPr="00F66190">
        <w:t>FY17 Fringe Benefit Rate Forward Pricing (DCAA)</w:t>
      </w:r>
      <w:r w:rsidR="006A6093">
        <w:t xml:space="preserve"> – report pending</w:t>
      </w:r>
    </w:p>
    <w:p w14:paraId="2C63C48B" w14:textId="77777777" w:rsidR="0028490F" w:rsidRPr="00F66190" w:rsidRDefault="0028490F" w:rsidP="0028490F">
      <w:pPr>
        <w:spacing w:after="120"/>
      </w:pPr>
    </w:p>
    <w:p w14:paraId="0A77CB1C" w14:textId="77777777" w:rsidR="0028490F" w:rsidRPr="00F66190" w:rsidRDefault="0028490F" w:rsidP="0028490F">
      <w:pPr>
        <w:spacing w:after="120"/>
      </w:pPr>
      <w:r w:rsidRPr="00F66190">
        <w:t>Work in Progress:</w:t>
      </w:r>
    </w:p>
    <w:p w14:paraId="7A64AE23" w14:textId="0BE7AC19" w:rsidR="00F66190" w:rsidRPr="00F66190" w:rsidRDefault="00F66190" w:rsidP="006A6093">
      <w:pPr>
        <w:numPr>
          <w:ilvl w:val="0"/>
          <w:numId w:val="39"/>
        </w:numPr>
        <w:spacing w:after="240" w:line="240" w:lineRule="auto"/>
      </w:pPr>
      <w:r w:rsidRPr="00F66190">
        <w:t>UA Annual Financial Audit FY1</w:t>
      </w:r>
      <w:r w:rsidR="006A6093">
        <w:t>7</w:t>
      </w:r>
      <w:r w:rsidRPr="00F66190">
        <w:t xml:space="preserve"> (Moss Adams)</w:t>
      </w:r>
    </w:p>
    <w:p w14:paraId="037962F0" w14:textId="1A9E7675" w:rsidR="00F66190" w:rsidRPr="00F66190" w:rsidRDefault="00F66190" w:rsidP="006A6093">
      <w:pPr>
        <w:numPr>
          <w:ilvl w:val="0"/>
          <w:numId w:val="39"/>
        </w:numPr>
        <w:spacing w:after="240" w:line="240" w:lineRule="auto"/>
      </w:pPr>
      <w:r w:rsidRPr="00F66190">
        <w:t>UA Federal Single Audit FY1</w:t>
      </w:r>
      <w:r w:rsidR="006A6093">
        <w:t>7</w:t>
      </w:r>
      <w:r w:rsidRPr="00F66190">
        <w:t xml:space="preserve"> (Moss Adams)</w:t>
      </w:r>
    </w:p>
    <w:p w14:paraId="62D54C27" w14:textId="600B1D42" w:rsidR="00F66190" w:rsidRDefault="00F66190" w:rsidP="006A6093">
      <w:pPr>
        <w:numPr>
          <w:ilvl w:val="0"/>
          <w:numId w:val="39"/>
        </w:numPr>
        <w:spacing w:after="240" w:line="240" w:lineRule="auto"/>
      </w:pPr>
      <w:r w:rsidRPr="00F66190">
        <w:t>UA Foundation and Consolidated Fund FY1</w:t>
      </w:r>
      <w:r w:rsidR="006A6093">
        <w:t>7</w:t>
      </w:r>
      <w:r w:rsidRPr="00F66190">
        <w:t xml:space="preserve"> (Moss Adams)</w:t>
      </w:r>
    </w:p>
    <w:p w14:paraId="3FB8AA9B" w14:textId="2A75C9B6" w:rsidR="006A6093" w:rsidRPr="00F66190" w:rsidRDefault="006A6093" w:rsidP="006A6093">
      <w:pPr>
        <w:numPr>
          <w:ilvl w:val="0"/>
          <w:numId w:val="39"/>
        </w:numPr>
        <w:spacing w:after="240" w:line="240" w:lineRule="auto"/>
      </w:pPr>
      <w:r>
        <w:t>Rasmuson Foundation Donor Intent (Moss Adams)</w:t>
      </w:r>
    </w:p>
    <w:p w14:paraId="2BD77280" w14:textId="77777777" w:rsidR="00F66190" w:rsidRPr="00F66190" w:rsidRDefault="00F66190" w:rsidP="006A6093">
      <w:pPr>
        <w:numPr>
          <w:ilvl w:val="0"/>
          <w:numId w:val="39"/>
        </w:numPr>
        <w:spacing w:after="240" w:line="240" w:lineRule="auto"/>
      </w:pPr>
      <w:r w:rsidRPr="00F66190">
        <w:t>Education Trust of Alaska (PWC)</w:t>
      </w:r>
    </w:p>
    <w:p w14:paraId="30B7B702" w14:textId="77777777" w:rsidR="00320EA4" w:rsidRPr="00F66190" w:rsidRDefault="00320EA4" w:rsidP="006A6093">
      <w:pPr>
        <w:numPr>
          <w:ilvl w:val="0"/>
          <w:numId w:val="39"/>
        </w:numPr>
        <w:spacing w:after="240" w:line="240" w:lineRule="auto"/>
      </w:pPr>
      <w:r w:rsidRPr="00F66190">
        <w:t>GASB 68 (KPMG)</w:t>
      </w:r>
    </w:p>
    <w:p w14:paraId="6EDD9CDF" w14:textId="23B95548" w:rsidR="00780459" w:rsidRDefault="00780459" w:rsidP="006A6093">
      <w:pPr>
        <w:numPr>
          <w:ilvl w:val="0"/>
          <w:numId w:val="39"/>
        </w:numPr>
        <w:spacing w:after="240" w:line="240" w:lineRule="auto"/>
      </w:pPr>
      <w:r w:rsidRPr="00F66190">
        <w:t>FY12-FY14 Fringe Benefit Incurred Costs (DCAA)</w:t>
      </w:r>
    </w:p>
    <w:p w14:paraId="42C82A9E" w14:textId="32C2749D" w:rsidR="004F28AC" w:rsidRPr="00F66190" w:rsidRDefault="004F28AC" w:rsidP="004F28AC">
      <w:pPr>
        <w:numPr>
          <w:ilvl w:val="0"/>
          <w:numId w:val="39"/>
        </w:numPr>
        <w:spacing w:after="240" w:line="240" w:lineRule="auto"/>
      </w:pPr>
      <w:r w:rsidRPr="004F28AC">
        <w:t>FY18 Fringe Benefit Rate Forward Pricing</w:t>
      </w:r>
    </w:p>
    <w:p w14:paraId="773BBBB6" w14:textId="499D3851" w:rsidR="006A6093" w:rsidRPr="00F66190" w:rsidRDefault="006A6093" w:rsidP="006A6093">
      <w:pPr>
        <w:numPr>
          <w:ilvl w:val="0"/>
          <w:numId w:val="39"/>
        </w:numPr>
        <w:spacing w:after="240" w:line="240" w:lineRule="auto"/>
      </w:pPr>
      <w:r>
        <w:t>UAF Federal Property (ONR)</w:t>
      </w:r>
    </w:p>
    <w:p w14:paraId="192EA1A1" w14:textId="4F25C678" w:rsidR="00320EA4" w:rsidRPr="00F66190" w:rsidRDefault="006A6093" w:rsidP="006A6093">
      <w:pPr>
        <w:numPr>
          <w:ilvl w:val="0"/>
          <w:numId w:val="39"/>
        </w:numPr>
        <w:spacing w:after="240" w:line="240" w:lineRule="auto"/>
      </w:pPr>
      <w:r>
        <w:t>UAF OIG Audit of Sikuliaq NSF Awards (NSF OIG)</w:t>
      </w:r>
    </w:p>
    <w:p w14:paraId="2CFB52C4" w14:textId="77777777" w:rsidR="00FA3BCD" w:rsidRPr="008D2F51" w:rsidRDefault="00FA3BCD" w:rsidP="00C11D46">
      <w:pPr>
        <w:pStyle w:val="Heading1"/>
        <w:spacing w:after="240"/>
        <w:rPr>
          <w:rFonts w:asciiTheme="minorHAnsi" w:hAnsiTheme="minorHAnsi"/>
          <w:b/>
          <w:sz w:val="22"/>
          <w:szCs w:val="22"/>
        </w:rPr>
      </w:pPr>
    </w:p>
    <w:sectPr w:rsidR="00FA3BCD" w:rsidRPr="008D2F51" w:rsidSect="0028490F">
      <w:headerReference w:type="default" r:id="rId20"/>
      <w:footerReference w:type="default" r:id="rId21"/>
      <w:headerReference w:type="first" r:id="rId22"/>
      <w:footerReference w:type="first" r:id="rId23"/>
      <w:pgSz w:w="12240" w:h="15840" w:code="1"/>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0BF70" w14:textId="77777777" w:rsidR="00A763E5" w:rsidRDefault="00A763E5" w:rsidP="00640BCC">
      <w:pPr>
        <w:spacing w:after="0" w:line="240" w:lineRule="auto"/>
      </w:pPr>
      <w:r>
        <w:separator/>
      </w:r>
    </w:p>
  </w:endnote>
  <w:endnote w:type="continuationSeparator" w:id="0">
    <w:p w14:paraId="3EF31690" w14:textId="77777777" w:rsidR="00A763E5" w:rsidRDefault="00A763E5" w:rsidP="0064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73CE" w14:textId="77777777" w:rsidR="00A763E5" w:rsidRDefault="00A763E5">
    <w:pPr>
      <w:pStyle w:val="Footer"/>
      <w:jc w:val="right"/>
    </w:pPr>
  </w:p>
  <w:p w14:paraId="4183964E" w14:textId="77777777" w:rsidR="00A763E5" w:rsidRDefault="00A763E5" w:rsidP="003C020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34879"/>
      <w:docPartObj>
        <w:docPartGallery w:val="Page Numbers (Bottom of Page)"/>
        <w:docPartUnique/>
      </w:docPartObj>
    </w:sdtPr>
    <w:sdtEndPr>
      <w:rPr>
        <w:color w:val="7F7F7F" w:themeColor="background1" w:themeShade="7F"/>
        <w:spacing w:val="60"/>
      </w:rPr>
    </w:sdtEndPr>
    <w:sdtContent>
      <w:p w14:paraId="54E6E02E" w14:textId="1C8C745F" w:rsidR="00CA775D" w:rsidRDefault="00CA77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62C9">
          <w:rPr>
            <w:noProof/>
          </w:rPr>
          <w:t>1</w:t>
        </w:r>
        <w:r>
          <w:rPr>
            <w:noProof/>
          </w:rPr>
          <w:fldChar w:fldCharType="end"/>
        </w:r>
        <w:r>
          <w:t xml:space="preserve"> | </w:t>
        </w:r>
        <w:r>
          <w:rPr>
            <w:color w:val="7F7F7F" w:themeColor="background1" w:themeShade="7F"/>
            <w:spacing w:val="60"/>
          </w:rPr>
          <w:t>Page</w:t>
        </w:r>
      </w:p>
    </w:sdtContent>
  </w:sdt>
  <w:p w14:paraId="0C9AE2CA" w14:textId="77777777" w:rsidR="00CA775D" w:rsidRDefault="00CA7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636350"/>
      <w:docPartObj>
        <w:docPartGallery w:val="Page Numbers (Bottom of Page)"/>
        <w:docPartUnique/>
      </w:docPartObj>
    </w:sdtPr>
    <w:sdtEndPr>
      <w:rPr>
        <w:color w:val="7F7F7F" w:themeColor="background1" w:themeShade="7F"/>
        <w:spacing w:val="60"/>
      </w:rPr>
    </w:sdtEndPr>
    <w:sdtContent>
      <w:p w14:paraId="157A6FB0" w14:textId="77777777" w:rsidR="00A763E5" w:rsidRDefault="00A763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62C9">
          <w:rPr>
            <w:noProof/>
          </w:rPr>
          <w:t>10</w:t>
        </w:r>
        <w:r>
          <w:rPr>
            <w:noProof/>
          </w:rPr>
          <w:fldChar w:fldCharType="end"/>
        </w:r>
        <w:r>
          <w:t xml:space="preserve"> | </w:t>
        </w:r>
        <w:r>
          <w:rPr>
            <w:color w:val="7F7F7F" w:themeColor="background1" w:themeShade="7F"/>
            <w:spacing w:val="60"/>
          </w:rPr>
          <w:t>Page</w:t>
        </w:r>
      </w:p>
    </w:sdtContent>
  </w:sdt>
  <w:p w14:paraId="151B7F4B" w14:textId="77777777" w:rsidR="00A763E5" w:rsidRDefault="00A763E5" w:rsidP="003C0208">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038592"/>
      <w:docPartObj>
        <w:docPartGallery w:val="Page Numbers (Bottom of Page)"/>
        <w:docPartUnique/>
      </w:docPartObj>
    </w:sdtPr>
    <w:sdtEndPr>
      <w:rPr>
        <w:color w:val="7F7F7F" w:themeColor="background1" w:themeShade="7F"/>
        <w:spacing w:val="60"/>
      </w:rPr>
    </w:sdtEndPr>
    <w:sdtContent>
      <w:p w14:paraId="6CBEDFBE" w14:textId="77777777" w:rsidR="00A763E5" w:rsidRDefault="00A763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14:paraId="719A6213" w14:textId="77777777" w:rsidR="00A763E5" w:rsidRPr="00C43C0B" w:rsidRDefault="00A763E5" w:rsidP="00E417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94410"/>
      <w:docPartObj>
        <w:docPartGallery w:val="Page Numbers (Bottom of Page)"/>
        <w:docPartUnique/>
      </w:docPartObj>
    </w:sdtPr>
    <w:sdtEndPr>
      <w:rPr>
        <w:color w:val="7F7F7F" w:themeColor="background1" w:themeShade="7F"/>
        <w:spacing w:val="60"/>
      </w:rPr>
    </w:sdtEndPr>
    <w:sdtContent>
      <w:p w14:paraId="07487E92" w14:textId="77777777" w:rsidR="00A763E5" w:rsidRDefault="00A763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62C9">
          <w:rPr>
            <w:noProof/>
          </w:rPr>
          <w:t>13</w:t>
        </w:r>
        <w:r>
          <w:rPr>
            <w:noProof/>
          </w:rPr>
          <w:fldChar w:fldCharType="end"/>
        </w:r>
        <w:r>
          <w:t xml:space="preserve"> | </w:t>
        </w:r>
        <w:r>
          <w:rPr>
            <w:color w:val="7F7F7F" w:themeColor="background1" w:themeShade="7F"/>
            <w:spacing w:val="60"/>
          </w:rPr>
          <w:t>Page</w:t>
        </w:r>
      </w:p>
    </w:sdtContent>
  </w:sdt>
  <w:p w14:paraId="032C574C" w14:textId="77777777" w:rsidR="00A763E5" w:rsidRDefault="00A763E5">
    <w:pPr>
      <w:pStyle w:val="Footer"/>
      <w:ind w:left="-720"/>
      <w:rPr>
        <w:snapToGrid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62093" w14:textId="77777777" w:rsidR="00A763E5" w:rsidRDefault="00A763E5" w:rsidP="00640BCC">
      <w:pPr>
        <w:spacing w:after="0" w:line="240" w:lineRule="auto"/>
      </w:pPr>
      <w:r>
        <w:separator/>
      </w:r>
    </w:p>
  </w:footnote>
  <w:footnote w:type="continuationSeparator" w:id="0">
    <w:p w14:paraId="045EAC5B" w14:textId="77777777" w:rsidR="00A763E5" w:rsidRDefault="00A763E5" w:rsidP="00640BCC">
      <w:pPr>
        <w:spacing w:after="0" w:line="240" w:lineRule="auto"/>
      </w:pPr>
      <w:r>
        <w:continuationSeparator/>
      </w:r>
    </w:p>
  </w:footnote>
  <w:footnote w:id="1">
    <w:p w14:paraId="784FEDFC" w14:textId="4C84801F" w:rsidR="0052049E" w:rsidRDefault="0052049E">
      <w:pPr>
        <w:pStyle w:val="FootnoteText"/>
      </w:pPr>
      <w:r>
        <w:rPr>
          <w:rStyle w:val="FootnoteReference"/>
        </w:rPr>
        <w:footnoteRef/>
      </w:r>
      <w:r>
        <w:t xml:space="preserve"> Throughout the year, new risks and competing priorities arise, resulting in the need to revise the original audit plan.  Some of the FY17 topics were reviewed extensively through the Strategic Pathways review and would have been duplicative to have an audit performed this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8BCE" w14:textId="77777777" w:rsidR="00A763E5" w:rsidRDefault="00A76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C64" w14:textId="77777777" w:rsidR="00A763E5" w:rsidRPr="0028490F" w:rsidRDefault="00A763E5" w:rsidP="0028490F">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C06"/>
    <w:multiLevelType w:val="hybridMultilevel"/>
    <w:tmpl w:val="6E0C638A"/>
    <w:lvl w:ilvl="0" w:tplc="DFFEC76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1F105A"/>
    <w:multiLevelType w:val="hybridMultilevel"/>
    <w:tmpl w:val="6868E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15C9"/>
    <w:multiLevelType w:val="hybridMultilevel"/>
    <w:tmpl w:val="D842D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07410"/>
    <w:multiLevelType w:val="multilevel"/>
    <w:tmpl w:val="9100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4663"/>
    <w:multiLevelType w:val="hybridMultilevel"/>
    <w:tmpl w:val="F23A4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73EA6"/>
    <w:multiLevelType w:val="hybridMultilevel"/>
    <w:tmpl w:val="64D24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C716C1"/>
    <w:multiLevelType w:val="hybridMultilevel"/>
    <w:tmpl w:val="3EB6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507655"/>
    <w:multiLevelType w:val="hybridMultilevel"/>
    <w:tmpl w:val="F806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CDA"/>
    <w:multiLevelType w:val="hybridMultilevel"/>
    <w:tmpl w:val="DFDC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B5283"/>
    <w:multiLevelType w:val="hybridMultilevel"/>
    <w:tmpl w:val="5AD65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01D5"/>
    <w:multiLevelType w:val="hybridMultilevel"/>
    <w:tmpl w:val="526EC43A"/>
    <w:lvl w:ilvl="0" w:tplc="6FCC8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C171C"/>
    <w:multiLevelType w:val="hybridMultilevel"/>
    <w:tmpl w:val="9486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B4FBD"/>
    <w:multiLevelType w:val="hybridMultilevel"/>
    <w:tmpl w:val="303244FE"/>
    <w:lvl w:ilvl="0" w:tplc="9008F4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8B4C8A"/>
    <w:multiLevelType w:val="hybridMultilevel"/>
    <w:tmpl w:val="239CA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8694E"/>
    <w:multiLevelType w:val="hybridMultilevel"/>
    <w:tmpl w:val="526EC43A"/>
    <w:lvl w:ilvl="0" w:tplc="6FCC8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7D4F66"/>
    <w:multiLevelType w:val="multilevel"/>
    <w:tmpl w:val="961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421E"/>
    <w:multiLevelType w:val="hybridMultilevel"/>
    <w:tmpl w:val="526EC43A"/>
    <w:lvl w:ilvl="0" w:tplc="6FCC8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E37421"/>
    <w:multiLevelType w:val="hybridMultilevel"/>
    <w:tmpl w:val="4D7ACF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B7A9F"/>
    <w:multiLevelType w:val="hybridMultilevel"/>
    <w:tmpl w:val="526EC43A"/>
    <w:lvl w:ilvl="0" w:tplc="6FCC8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D6A7A"/>
    <w:multiLevelType w:val="hybridMultilevel"/>
    <w:tmpl w:val="182A6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413081"/>
    <w:multiLevelType w:val="hybridMultilevel"/>
    <w:tmpl w:val="0286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9751A2"/>
    <w:multiLevelType w:val="hybridMultilevel"/>
    <w:tmpl w:val="DFE8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72186"/>
    <w:multiLevelType w:val="hybridMultilevel"/>
    <w:tmpl w:val="74BA6A94"/>
    <w:lvl w:ilvl="0" w:tplc="18664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3696A"/>
    <w:multiLevelType w:val="multilevel"/>
    <w:tmpl w:val="A0B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F09C8"/>
    <w:multiLevelType w:val="hybridMultilevel"/>
    <w:tmpl w:val="E40E9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732170"/>
    <w:multiLevelType w:val="hybridMultilevel"/>
    <w:tmpl w:val="A692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E091D"/>
    <w:multiLevelType w:val="hybridMultilevel"/>
    <w:tmpl w:val="A9F6BE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E35E35"/>
    <w:multiLevelType w:val="hybridMultilevel"/>
    <w:tmpl w:val="CE285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9F02BC"/>
    <w:multiLevelType w:val="hybridMultilevel"/>
    <w:tmpl w:val="4F6E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523B6"/>
    <w:multiLevelType w:val="hybridMultilevel"/>
    <w:tmpl w:val="E40E9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F66D53"/>
    <w:multiLevelType w:val="hybridMultilevel"/>
    <w:tmpl w:val="A4CE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150E7"/>
    <w:multiLevelType w:val="hybridMultilevel"/>
    <w:tmpl w:val="0B9CB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C4C58"/>
    <w:multiLevelType w:val="hybridMultilevel"/>
    <w:tmpl w:val="9D680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5F5E"/>
    <w:multiLevelType w:val="hybridMultilevel"/>
    <w:tmpl w:val="E75C40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611246"/>
    <w:multiLevelType w:val="hybridMultilevel"/>
    <w:tmpl w:val="80803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EC4628"/>
    <w:multiLevelType w:val="hybridMultilevel"/>
    <w:tmpl w:val="9454DE9E"/>
    <w:lvl w:ilvl="0" w:tplc="69DA6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FB3444"/>
    <w:multiLevelType w:val="hybridMultilevel"/>
    <w:tmpl w:val="4D7ACF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D6561"/>
    <w:multiLevelType w:val="hybridMultilevel"/>
    <w:tmpl w:val="22C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C77C7"/>
    <w:multiLevelType w:val="hybridMultilevel"/>
    <w:tmpl w:val="ACFCC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F5851"/>
    <w:multiLevelType w:val="hybridMultilevel"/>
    <w:tmpl w:val="CDCC8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3221C"/>
    <w:multiLevelType w:val="hybridMultilevel"/>
    <w:tmpl w:val="961C228C"/>
    <w:lvl w:ilvl="0" w:tplc="AD4A7584">
      <w:start w:val="1"/>
      <w:numFmt w:val="lowerLetter"/>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35053B"/>
    <w:multiLevelType w:val="hybridMultilevel"/>
    <w:tmpl w:val="C0E6D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8"/>
  </w:num>
  <w:num w:numId="3">
    <w:abstractNumId w:val="29"/>
  </w:num>
  <w:num w:numId="4">
    <w:abstractNumId w:val="31"/>
  </w:num>
  <w:num w:numId="5">
    <w:abstractNumId w:val="22"/>
  </w:num>
  <w:num w:numId="6">
    <w:abstractNumId w:val="35"/>
  </w:num>
  <w:num w:numId="7">
    <w:abstractNumId w:val="8"/>
  </w:num>
  <w:num w:numId="8">
    <w:abstractNumId w:val="24"/>
  </w:num>
  <w:num w:numId="9">
    <w:abstractNumId w:val="9"/>
  </w:num>
  <w:num w:numId="10">
    <w:abstractNumId w:val="27"/>
  </w:num>
  <w:num w:numId="11">
    <w:abstractNumId w:val="34"/>
  </w:num>
  <w:num w:numId="12">
    <w:abstractNumId w:val="30"/>
  </w:num>
  <w:num w:numId="13">
    <w:abstractNumId w:val="4"/>
  </w:num>
  <w:num w:numId="14">
    <w:abstractNumId w:val="19"/>
  </w:num>
  <w:num w:numId="15">
    <w:abstractNumId w:val="37"/>
  </w:num>
  <w:num w:numId="16">
    <w:abstractNumId w:val="38"/>
  </w:num>
  <w:num w:numId="17">
    <w:abstractNumId w:val="14"/>
  </w:num>
  <w:num w:numId="18">
    <w:abstractNumId w:val="12"/>
  </w:num>
  <w:num w:numId="19">
    <w:abstractNumId w:val="0"/>
  </w:num>
  <w:num w:numId="20">
    <w:abstractNumId w:val="23"/>
  </w:num>
  <w:num w:numId="21">
    <w:abstractNumId w:val="18"/>
  </w:num>
  <w:num w:numId="22">
    <w:abstractNumId w:val="16"/>
  </w:num>
  <w:num w:numId="23">
    <w:abstractNumId w:val="10"/>
  </w:num>
  <w:num w:numId="24">
    <w:abstractNumId w:val="17"/>
  </w:num>
  <w:num w:numId="25">
    <w:abstractNumId w:val="21"/>
  </w:num>
  <w:num w:numId="26">
    <w:abstractNumId w:val="2"/>
  </w:num>
  <w:num w:numId="27">
    <w:abstractNumId w:val="3"/>
  </w:num>
  <w:num w:numId="28">
    <w:abstractNumId w:val="40"/>
  </w:num>
  <w:num w:numId="29">
    <w:abstractNumId w:val="15"/>
  </w:num>
  <w:num w:numId="30">
    <w:abstractNumId w:val="33"/>
  </w:num>
  <w:num w:numId="31">
    <w:abstractNumId w:val="26"/>
  </w:num>
  <w:num w:numId="32">
    <w:abstractNumId w:val="11"/>
  </w:num>
  <w:num w:numId="33">
    <w:abstractNumId w:val="41"/>
  </w:num>
  <w:num w:numId="34">
    <w:abstractNumId w:val="5"/>
  </w:num>
  <w:num w:numId="35">
    <w:abstractNumId w:val="32"/>
  </w:num>
  <w:num w:numId="36">
    <w:abstractNumId w:val="1"/>
  </w:num>
  <w:num w:numId="37">
    <w:abstractNumId w:val="13"/>
  </w:num>
  <w:num w:numId="38">
    <w:abstractNumId w:val="39"/>
  </w:num>
  <w:num w:numId="39">
    <w:abstractNumId w:val="36"/>
  </w:num>
  <w:num w:numId="40">
    <w:abstractNumId w:val="7"/>
  </w:num>
  <w:num w:numId="41">
    <w:abstractNumId w:val="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ession" w:val="False"/>
  </w:docVars>
  <w:rsids>
    <w:rsidRoot w:val="00630E44"/>
    <w:rsid w:val="00015E61"/>
    <w:rsid w:val="00021873"/>
    <w:rsid w:val="0002760A"/>
    <w:rsid w:val="00032DA0"/>
    <w:rsid w:val="00036B9C"/>
    <w:rsid w:val="00036BCA"/>
    <w:rsid w:val="0004011C"/>
    <w:rsid w:val="00040DC0"/>
    <w:rsid w:val="00041B45"/>
    <w:rsid w:val="00043C20"/>
    <w:rsid w:val="00051672"/>
    <w:rsid w:val="000541A0"/>
    <w:rsid w:val="0005552B"/>
    <w:rsid w:val="00064223"/>
    <w:rsid w:val="0006612B"/>
    <w:rsid w:val="000675A8"/>
    <w:rsid w:val="00076B70"/>
    <w:rsid w:val="00092F58"/>
    <w:rsid w:val="000950C1"/>
    <w:rsid w:val="000A4961"/>
    <w:rsid w:val="000A5D14"/>
    <w:rsid w:val="000B6C28"/>
    <w:rsid w:val="000C0B52"/>
    <w:rsid w:val="000C11DC"/>
    <w:rsid w:val="000C52E6"/>
    <w:rsid w:val="000D31D3"/>
    <w:rsid w:val="000D3C1D"/>
    <w:rsid w:val="000E49B7"/>
    <w:rsid w:val="000F41A4"/>
    <w:rsid w:val="001022FF"/>
    <w:rsid w:val="00105A31"/>
    <w:rsid w:val="001114AF"/>
    <w:rsid w:val="0011300C"/>
    <w:rsid w:val="001265E6"/>
    <w:rsid w:val="001467D9"/>
    <w:rsid w:val="001602E0"/>
    <w:rsid w:val="0016133D"/>
    <w:rsid w:val="00164EE5"/>
    <w:rsid w:val="00173BB7"/>
    <w:rsid w:val="00180E58"/>
    <w:rsid w:val="00184CB9"/>
    <w:rsid w:val="00185977"/>
    <w:rsid w:val="00185E4C"/>
    <w:rsid w:val="0018630C"/>
    <w:rsid w:val="001904FB"/>
    <w:rsid w:val="00192A21"/>
    <w:rsid w:val="0019606D"/>
    <w:rsid w:val="001A1F9E"/>
    <w:rsid w:val="001A4109"/>
    <w:rsid w:val="001B2135"/>
    <w:rsid w:val="001B5F12"/>
    <w:rsid w:val="001C1AEC"/>
    <w:rsid w:val="001D5DFF"/>
    <w:rsid w:val="001E0CDA"/>
    <w:rsid w:val="001E1DAF"/>
    <w:rsid w:val="001F3696"/>
    <w:rsid w:val="0020724D"/>
    <w:rsid w:val="00214942"/>
    <w:rsid w:val="00215EA7"/>
    <w:rsid w:val="00216468"/>
    <w:rsid w:val="00223A69"/>
    <w:rsid w:val="00231DE2"/>
    <w:rsid w:val="0023507B"/>
    <w:rsid w:val="00235D75"/>
    <w:rsid w:val="0024377F"/>
    <w:rsid w:val="00244C45"/>
    <w:rsid w:val="002459B4"/>
    <w:rsid w:val="00252C99"/>
    <w:rsid w:val="00256729"/>
    <w:rsid w:val="00263AD7"/>
    <w:rsid w:val="00273559"/>
    <w:rsid w:val="00281B7B"/>
    <w:rsid w:val="0028473D"/>
    <w:rsid w:val="0028490F"/>
    <w:rsid w:val="0028618A"/>
    <w:rsid w:val="002900F5"/>
    <w:rsid w:val="00290543"/>
    <w:rsid w:val="002A0CBE"/>
    <w:rsid w:val="002A4C4E"/>
    <w:rsid w:val="002A7F2D"/>
    <w:rsid w:val="002B0E59"/>
    <w:rsid w:val="002B2AFC"/>
    <w:rsid w:val="002B3AFE"/>
    <w:rsid w:val="002C2A33"/>
    <w:rsid w:val="002C3E56"/>
    <w:rsid w:val="002C7F06"/>
    <w:rsid w:val="002D03C6"/>
    <w:rsid w:val="002D409B"/>
    <w:rsid w:val="002E1D2B"/>
    <w:rsid w:val="002E5BA1"/>
    <w:rsid w:val="002F0B4F"/>
    <w:rsid w:val="002F39BB"/>
    <w:rsid w:val="002F3B7B"/>
    <w:rsid w:val="002F4107"/>
    <w:rsid w:val="00300559"/>
    <w:rsid w:val="003046CD"/>
    <w:rsid w:val="00311A5D"/>
    <w:rsid w:val="003126E7"/>
    <w:rsid w:val="00320EA4"/>
    <w:rsid w:val="00321846"/>
    <w:rsid w:val="003251A6"/>
    <w:rsid w:val="003321F4"/>
    <w:rsid w:val="003325CB"/>
    <w:rsid w:val="00335E8E"/>
    <w:rsid w:val="00341A87"/>
    <w:rsid w:val="003459B5"/>
    <w:rsid w:val="003474BE"/>
    <w:rsid w:val="00350BC7"/>
    <w:rsid w:val="0035666E"/>
    <w:rsid w:val="003616BD"/>
    <w:rsid w:val="0036601A"/>
    <w:rsid w:val="00366835"/>
    <w:rsid w:val="00367B9F"/>
    <w:rsid w:val="003742E6"/>
    <w:rsid w:val="00380FC9"/>
    <w:rsid w:val="003817B7"/>
    <w:rsid w:val="00393F87"/>
    <w:rsid w:val="003953AF"/>
    <w:rsid w:val="003966CE"/>
    <w:rsid w:val="003973AF"/>
    <w:rsid w:val="00397B28"/>
    <w:rsid w:val="003A0958"/>
    <w:rsid w:val="003A24E3"/>
    <w:rsid w:val="003A6C63"/>
    <w:rsid w:val="003B0C56"/>
    <w:rsid w:val="003B1146"/>
    <w:rsid w:val="003B2278"/>
    <w:rsid w:val="003B2702"/>
    <w:rsid w:val="003C0208"/>
    <w:rsid w:val="003C08D8"/>
    <w:rsid w:val="003C1216"/>
    <w:rsid w:val="003C16F7"/>
    <w:rsid w:val="003C5B0E"/>
    <w:rsid w:val="003C636A"/>
    <w:rsid w:val="003D2C82"/>
    <w:rsid w:val="003D58DB"/>
    <w:rsid w:val="003E0FA0"/>
    <w:rsid w:val="003E1F30"/>
    <w:rsid w:val="003E3CAC"/>
    <w:rsid w:val="003E7FB2"/>
    <w:rsid w:val="003F0BEB"/>
    <w:rsid w:val="003F1467"/>
    <w:rsid w:val="003F5916"/>
    <w:rsid w:val="003F657E"/>
    <w:rsid w:val="003F7BF6"/>
    <w:rsid w:val="00400D8E"/>
    <w:rsid w:val="00402895"/>
    <w:rsid w:val="00406F49"/>
    <w:rsid w:val="00410830"/>
    <w:rsid w:val="00415374"/>
    <w:rsid w:val="00431B78"/>
    <w:rsid w:val="004338EB"/>
    <w:rsid w:val="00436C88"/>
    <w:rsid w:val="00441F62"/>
    <w:rsid w:val="0044497A"/>
    <w:rsid w:val="00445E13"/>
    <w:rsid w:val="00447055"/>
    <w:rsid w:val="004474BC"/>
    <w:rsid w:val="0045051B"/>
    <w:rsid w:val="00455DBD"/>
    <w:rsid w:val="00456D1D"/>
    <w:rsid w:val="00463D02"/>
    <w:rsid w:val="0047280A"/>
    <w:rsid w:val="00472F35"/>
    <w:rsid w:val="004743C4"/>
    <w:rsid w:val="00474ADB"/>
    <w:rsid w:val="0047703D"/>
    <w:rsid w:val="0048104A"/>
    <w:rsid w:val="004911A5"/>
    <w:rsid w:val="00492A8E"/>
    <w:rsid w:val="004B3B56"/>
    <w:rsid w:val="004D2D58"/>
    <w:rsid w:val="004D74A9"/>
    <w:rsid w:val="004E138A"/>
    <w:rsid w:val="004E5157"/>
    <w:rsid w:val="004F28AC"/>
    <w:rsid w:val="004F4DD5"/>
    <w:rsid w:val="004F72CC"/>
    <w:rsid w:val="00503F01"/>
    <w:rsid w:val="00504C87"/>
    <w:rsid w:val="005107C1"/>
    <w:rsid w:val="00512C12"/>
    <w:rsid w:val="0051402B"/>
    <w:rsid w:val="0051603E"/>
    <w:rsid w:val="00516F2F"/>
    <w:rsid w:val="00517DD3"/>
    <w:rsid w:val="0052049E"/>
    <w:rsid w:val="00530A88"/>
    <w:rsid w:val="005334DD"/>
    <w:rsid w:val="00534DFB"/>
    <w:rsid w:val="00542BEF"/>
    <w:rsid w:val="0055078B"/>
    <w:rsid w:val="00550FC3"/>
    <w:rsid w:val="005510DE"/>
    <w:rsid w:val="00553732"/>
    <w:rsid w:val="00566E6F"/>
    <w:rsid w:val="005762C9"/>
    <w:rsid w:val="00577C79"/>
    <w:rsid w:val="00581E87"/>
    <w:rsid w:val="005930E5"/>
    <w:rsid w:val="005A75BF"/>
    <w:rsid w:val="005A7E81"/>
    <w:rsid w:val="005C2B1F"/>
    <w:rsid w:val="005C30CB"/>
    <w:rsid w:val="005D6AD4"/>
    <w:rsid w:val="005E02D4"/>
    <w:rsid w:val="005E4801"/>
    <w:rsid w:val="005E53EE"/>
    <w:rsid w:val="005E643D"/>
    <w:rsid w:val="005F6A55"/>
    <w:rsid w:val="006027E6"/>
    <w:rsid w:val="00605A99"/>
    <w:rsid w:val="006079AA"/>
    <w:rsid w:val="00613C02"/>
    <w:rsid w:val="00613E39"/>
    <w:rsid w:val="00616061"/>
    <w:rsid w:val="00627761"/>
    <w:rsid w:val="00630E44"/>
    <w:rsid w:val="00632F84"/>
    <w:rsid w:val="00640252"/>
    <w:rsid w:val="00640B70"/>
    <w:rsid w:val="00640BCC"/>
    <w:rsid w:val="006453EF"/>
    <w:rsid w:val="00647235"/>
    <w:rsid w:val="00650043"/>
    <w:rsid w:val="0065226D"/>
    <w:rsid w:val="00652605"/>
    <w:rsid w:val="00653117"/>
    <w:rsid w:val="0065341B"/>
    <w:rsid w:val="006544BD"/>
    <w:rsid w:val="00660458"/>
    <w:rsid w:val="00663020"/>
    <w:rsid w:val="00675E14"/>
    <w:rsid w:val="00681E11"/>
    <w:rsid w:val="00683030"/>
    <w:rsid w:val="00685459"/>
    <w:rsid w:val="00685BC6"/>
    <w:rsid w:val="00692C61"/>
    <w:rsid w:val="006A32E9"/>
    <w:rsid w:val="006A355B"/>
    <w:rsid w:val="006A46EC"/>
    <w:rsid w:val="006A6093"/>
    <w:rsid w:val="006B3F62"/>
    <w:rsid w:val="006B4B28"/>
    <w:rsid w:val="006B6A92"/>
    <w:rsid w:val="006B6EFC"/>
    <w:rsid w:val="006B77CA"/>
    <w:rsid w:val="006C0FAD"/>
    <w:rsid w:val="006C3F1D"/>
    <w:rsid w:val="006C4C77"/>
    <w:rsid w:val="006D0135"/>
    <w:rsid w:val="006D2D01"/>
    <w:rsid w:val="006D6421"/>
    <w:rsid w:val="006E082A"/>
    <w:rsid w:val="006F2F43"/>
    <w:rsid w:val="00704B2E"/>
    <w:rsid w:val="00705F67"/>
    <w:rsid w:val="007228DD"/>
    <w:rsid w:val="007327E8"/>
    <w:rsid w:val="00734159"/>
    <w:rsid w:val="00755F84"/>
    <w:rsid w:val="007611C3"/>
    <w:rsid w:val="007652D2"/>
    <w:rsid w:val="0077099C"/>
    <w:rsid w:val="0077313E"/>
    <w:rsid w:val="007731C5"/>
    <w:rsid w:val="00780459"/>
    <w:rsid w:val="007807CE"/>
    <w:rsid w:val="00781887"/>
    <w:rsid w:val="00784B1B"/>
    <w:rsid w:val="00791B6E"/>
    <w:rsid w:val="007953F8"/>
    <w:rsid w:val="00796FC6"/>
    <w:rsid w:val="007B1589"/>
    <w:rsid w:val="007C0E8E"/>
    <w:rsid w:val="007D6F1E"/>
    <w:rsid w:val="007E43A4"/>
    <w:rsid w:val="007E4AC3"/>
    <w:rsid w:val="007E7695"/>
    <w:rsid w:val="007E7985"/>
    <w:rsid w:val="007F17B1"/>
    <w:rsid w:val="007F7E8E"/>
    <w:rsid w:val="0080649A"/>
    <w:rsid w:val="008169ED"/>
    <w:rsid w:val="008211D4"/>
    <w:rsid w:val="00836896"/>
    <w:rsid w:val="00841498"/>
    <w:rsid w:val="008419A6"/>
    <w:rsid w:val="00843B46"/>
    <w:rsid w:val="008447CD"/>
    <w:rsid w:val="008540CB"/>
    <w:rsid w:val="008569F2"/>
    <w:rsid w:val="00861912"/>
    <w:rsid w:val="00863DD1"/>
    <w:rsid w:val="00864C49"/>
    <w:rsid w:val="008853F6"/>
    <w:rsid w:val="00891806"/>
    <w:rsid w:val="00897CA8"/>
    <w:rsid w:val="008B678F"/>
    <w:rsid w:val="008C7B2F"/>
    <w:rsid w:val="008D1947"/>
    <w:rsid w:val="008D2337"/>
    <w:rsid w:val="008D2F51"/>
    <w:rsid w:val="008D6560"/>
    <w:rsid w:val="008E0E20"/>
    <w:rsid w:val="008F38CB"/>
    <w:rsid w:val="008F5785"/>
    <w:rsid w:val="008F6284"/>
    <w:rsid w:val="008F6D2D"/>
    <w:rsid w:val="009053B1"/>
    <w:rsid w:val="00905963"/>
    <w:rsid w:val="0091656D"/>
    <w:rsid w:val="009229F8"/>
    <w:rsid w:val="00925BCA"/>
    <w:rsid w:val="00927176"/>
    <w:rsid w:val="0093352D"/>
    <w:rsid w:val="00940F5E"/>
    <w:rsid w:val="00941E0D"/>
    <w:rsid w:val="00950837"/>
    <w:rsid w:val="00956AB4"/>
    <w:rsid w:val="00974C16"/>
    <w:rsid w:val="00984F26"/>
    <w:rsid w:val="00986D58"/>
    <w:rsid w:val="00990802"/>
    <w:rsid w:val="00992C62"/>
    <w:rsid w:val="00994108"/>
    <w:rsid w:val="00994D8F"/>
    <w:rsid w:val="009A28A2"/>
    <w:rsid w:val="009A7A08"/>
    <w:rsid w:val="009B1166"/>
    <w:rsid w:val="009B6258"/>
    <w:rsid w:val="009B6316"/>
    <w:rsid w:val="009B7B2B"/>
    <w:rsid w:val="009C68E3"/>
    <w:rsid w:val="009C6C34"/>
    <w:rsid w:val="009D1F84"/>
    <w:rsid w:val="009D6C40"/>
    <w:rsid w:val="009E2514"/>
    <w:rsid w:val="009E390E"/>
    <w:rsid w:val="009F0DC8"/>
    <w:rsid w:val="009F692C"/>
    <w:rsid w:val="00A0700E"/>
    <w:rsid w:val="00A070DA"/>
    <w:rsid w:val="00A1455A"/>
    <w:rsid w:val="00A155FB"/>
    <w:rsid w:val="00A15F3C"/>
    <w:rsid w:val="00A22689"/>
    <w:rsid w:val="00A26E61"/>
    <w:rsid w:val="00A3214B"/>
    <w:rsid w:val="00A368FA"/>
    <w:rsid w:val="00A406C6"/>
    <w:rsid w:val="00A40C85"/>
    <w:rsid w:val="00A4327D"/>
    <w:rsid w:val="00A43384"/>
    <w:rsid w:val="00A47305"/>
    <w:rsid w:val="00A54CBE"/>
    <w:rsid w:val="00A75058"/>
    <w:rsid w:val="00A763E5"/>
    <w:rsid w:val="00A7696F"/>
    <w:rsid w:val="00A81C6C"/>
    <w:rsid w:val="00A8244B"/>
    <w:rsid w:val="00A82BD9"/>
    <w:rsid w:val="00A87D91"/>
    <w:rsid w:val="00A973C4"/>
    <w:rsid w:val="00A979DE"/>
    <w:rsid w:val="00AA0991"/>
    <w:rsid w:val="00AA0ACA"/>
    <w:rsid w:val="00AA5D81"/>
    <w:rsid w:val="00AA67CC"/>
    <w:rsid w:val="00AB2AB0"/>
    <w:rsid w:val="00AB680C"/>
    <w:rsid w:val="00AC2A99"/>
    <w:rsid w:val="00AC2C20"/>
    <w:rsid w:val="00AC4E05"/>
    <w:rsid w:val="00AC5993"/>
    <w:rsid w:val="00AD079E"/>
    <w:rsid w:val="00AD2C05"/>
    <w:rsid w:val="00AD51A7"/>
    <w:rsid w:val="00AD5D2F"/>
    <w:rsid w:val="00AE2850"/>
    <w:rsid w:val="00AE7D69"/>
    <w:rsid w:val="00AF1B2F"/>
    <w:rsid w:val="00AF5C71"/>
    <w:rsid w:val="00AF7F12"/>
    <w:rsid w:val="00B01723"/>
    <w:rsid w:val="00B01C14"/>
    <w:rsid w:val="00B047E7"/>
    <w:rsid w:val="00B124A8"/>
    <w:rsid w:val="00B1465F"/>
    <w:rsid w:val="00B161E9"/>
    <w:rsid w:val="00B20322"/>
    <w:rsid w:val="00B23E3B"/>
    <w:rsid w:val="00B27DF7"/>
    <w:rsid w:val="00B31872"/>
    <w:rsid w:val="00B31EAA"/>
    <w:rsid w:val="00B34BC5"/>
    <w:rsid w:val="00B34F13"/>
    <w:rsid w:val="00B370D7"/>
    <w:rsid w:val="00B43351"/>
    <w:rsid w:val="00B50FB2"/>
    <w:rsid w:val="00B5200D"/>
    <w:rsid w:val="00B57247"/>
    <w:rsid w:val="00B605FA"/>
    <w:rsid w:val="00B63B9B"/>
    <w:rsid w:val="00B6621C"/>
    <w:rsid w:val="00B67D66"/>
    <w:rsid w:val="00B71E21"/>
    <w:rsid w:val="00B72648"/>
    <w:rsid w:val="00B74E88"/>
    <w:rsid w:val="00B9401A"/>
    <w:rsid w:val="00BA3F39"/>
    <w:rsid w:val="00BB4B2A"/>
    <w:rsid w:val="00BB5364"/>
    <w:rsid w:val="00BB5FCA"/>
    <w:rsid w:val="00BC58DD"/>
    <w:rsid w:val="00BC6B91"/>
    <w:rsid w:val="00BD2E4C"/>
    <w:rsid w:val="00BD7ABE"/>
    <w:rsid w:val="00BE2E43"/>
    <w:rsid w:val="00BE61A9"/>
    <w:rsid w:val="00BF1191"/>
    <w:rsid w:val="00BF6895"/>
    <w:rsid w:val="00C01481"/>
    <w:rsid w:val="00C11D46"/>
    <w:rsid w:val="00C23378"/>
    <w:rsid w:val="00C2642F"/>
    <w:rsid w:val="00C265C4"/>
    <w:rsid w:val="00C342B4"/>
    <w:rsid w:val="00C4028F"/>
    <w:rsid w:val="00C42082"/>
    <w:rsid w:val="00C44DAD"/>
    <w:rsid w:val="00C45473"/>
    <w:rsid w:val="00C52B6A"/>
    <w:rsid w:val="00C55097"/>
    <w:rsid w:val="00C570D3"/>
    <w:rsid w:val="00C6530B"/>
    <w:rsid w:val="00C656C1"/>
    <w:rsid w:val="00C66943"/>
    <w:rsid w:val="00C76991"/>
    <w:rsid w:val="00C77411"/>
    <w:rsid w:val="00C8165E"/>
    <w:rsid w:val="00C84160"/>
    <w:rsid w:val="00C90697"/>
    <w:rsid w:val="00C90702"/>
    <w:rsid w:val="00C93B84"/>
    <w:rsid w:val="00C96BD7"/>
    <w:rsid w:val="00CA1EE8"/>
    <w:rsid w:val="00CA3D5C"/>
    <w:rsid w:val="00CA775D"/>
    <w:rsid w:val="00CB0B1E"/>
    <w:rsid w:val="00CC64CD"/>
    <w:rsid w:val="00CD00FB"/>
    <w:rsid w:val="00CD1A1F"/>
    <w:rsid w:val="00CD1EFC"/>
    <w:rsid w:val="00CE6DD7"/>
    <w:rsid w:val="00CF1E19"/>
    <w:rsid w:val="00CF2801"/>
    <w:rsid w:val="00CF403D"/>
    <w:rsid w:val="00D0217B"/>
    <w:rsid w:val="00D03287"/>
    <w:rsid w:val="00D06E88"/>
    <w:rsid w:val="00D10E60"/>
    <w:rsid w:val="00D12FC9"/>
    <w:rsid w:val="00D13DAC"/>
    <w:rsid w:val="00D141D3"/>
    <w:rsid w:val="00D160EC"/>
    <w:rsid w:val="00D17294"/>
    <w:rsid w:val="00D24431"/>
    <w:rsid w:val="00D252AF"/>
    <w:rsid w:val="00D265A6"/>
    <w:rsid w:val="00D27A55"/>
    <w:rsid w:val="00D30EAA"/>
    <w:rsid w:val="00D334E3"/>
    <w:rsid w:val="00D33ECC"/>
    <w:rsid w:val="00D359ED"/>
    <w:rsid w:val="00D35BC1"/>
    <w:rsid w:val="00D35F2C"/>
    <w:rsid w:val="00D4059C"/>
    <w:rsid w:val="00D453D4"/>
    <w:rsid w:val="00D51CA0"/>
    <w:rsid w:val="00D51D6D"/>
    <w:rsid w:val="00D52F94"/>
    <w:rsid w:val="00D56D4A"/>
    <w:rsid w:val="00D654F7"/>
    <w:rsid w:val="00D6693A"/>
    <w:rsid w:val="00D72253"/>
    <w:rsid w:val="00D74FE0"/>
    <w:rsid w:val="00D92E98"/>
    <w:rsid w:val="00D9440A"/>
    <w:rsid w:val="00D976EC"/>
    <w:rsid w:val="00DA3534"/>
    <w:rsid w:val="00DB01EC"/>
    <w:rsid w:val="00DB1C95"/>
    <w:rsid w:val="00DB2173"/>
    <w:rsid w:val="00DB2D05"/>
    <w:rsid w:val="00DB6C6A"/>
    <w:rsid w:val="00DC27C9"/>
    <w:rsid w:val="00DC72A7"/>
    <w:rsid w:val="00DE265B"/>
    <w:rsid w:val="00DE63E4"/>
    <w:rsid w:val="00DF4F5E"/>
    <w:rsid w:val="00DF69FB"/>
    <w:rsid w:val="00E0431D"/>
    <w:rsid w:val="00E0578B"/>
    <w:rsid w:val="00E0742C"/>
    <w:rsid w:val="00E32925"/>
    <w:rsid w:val="00E330AA"/>
    <w:rsid w:val="00E37AC5"/>
    <w:rsid w:val="00E417D1"/>
    <w:rsid w:val="00E41EA6"/>
    <w:rsid w:val="00E42237"/>
    <w:rsid w:val="00E6317F"/>
    <w:rsid w:val="00E63BB5"/>
    <w:rsid w:val="00E75360"/>
    <w:rsid w:val="00E80A52"/>
    <w:rsid w:val="00E810A1"/>
    <w:rsid w:val="00E82CA4"/>
    <w:rsid w:val="00E840F2"/>
    <w:rsid w:val="00E9072D"/>
    <w:rsid w:val="00E95A0C"/>
    <w:rsid w:val="00E96240"/>
    <w:rsid w:val="00EA0677"/>
    <w:rsid w:val="00EA1A2C"/>
    <w:rsid w:val="00EA4509"/>
    <w:rsid w:val="00EA455C"/>
    <w:rsid w:val="00EA6B29"/>
    <w:rsid w:val="00EB2BF4"/>
    <w:rsid w:val="00EB4F24"/>
    <w:rsid w:val="00EB6BBC"/>
    <w:rsid w:val="00EB7058"/>
    <w:rsid w:val="00EC0684"/>
    <w:rsid w:val="00EC5BF0"/>
    <w:rsid w:val="00EC78E7"/>
    <w:rsid w:val="00ED1615"/>
    <w:rsid w:val="00ED42FA"/>
    <w:rsid w:val="00ED55AF"/>
    <w:rsid w:val="00ED71C6"/>
    <w:rsid w:val="00EE120E"/>
    <w:rsid w:val="00EE6F88"/>
    <w:rsid w:val="00EE774C"/>
    <w:rsid w:val="00F00086"/>
    <w:rsid w:val="00F02A6F"/>
    <w:rsid w:val="00F03D01"/>
    <w:rsid w:val="00F046DC"/>
    <w:rsid w:val="00F10632"/>
    <w:rsid w:val="00F145CA"/>
    <w:rsid w:val="00F1471B"/>
    <w:rsid w:val="00F16D58"/>
    <w:rsid w:val="00F249AE"/>
    <w:rsid w:val="00F30AB7"/>
    <w:rsid w:val="00F32F37"/>
    <w:rsid w:val="00F536DD"/>
    <w:rsid w:val="00F5588C"/>
    <w:rsid w:val="00F64269"/>
    <w:rsid w:val="00F66190"/>
    <w:rsid w:val="00F6780A"/>
    <w:rsid w:val="00F71544"/>
    <w:rsid w:val="00F72D2C"/>
    <w:rsid w:val="00F76C99"/>
    <w:rsid w:val="00FA3BCD"/>
    <w:rsid w:val="00FA5976"/>
    <w:rsid w:val="00FC4713"/>
    <w:rsid w:val="00FC59A9"/>
    <w:rsid w:val="00FC6113"/>
    <w:rsid w:val="00FC7F38"/>
    <w:rsid w:val="00FD06FF"/>
    <w:rsid w:val="00FE1F87"/>
    <w:rsid w:val="00FE2543"/>
    <w:rsid w:val="00FE3918"/>
    <w:rsid w:val="00F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BE9945E"/>
  <w15:docId w15:val="{4916AA1D-4101-4307-A180-3520E687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0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5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53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401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E44"/>
    <w:pPr>
      <w:ind w:left="720"/>
      <w:contextualSpacing/>
    </w:pPr>
  </w:style>
  <w:style w:type="table" w:styleId="TableGrid">
    <w:name w:val="Table Grid"/>
    <w:basedOn w:val="TableNormal"/>
    <w:uiPriority w:val="59"/>
    <w:rsid w:val="004D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72"/>
    <w:rPr>
      <w:rFonts w:ascii="Tahoma" w:hAnsi="Tahoma" w:cs="Tahoma"/>
      <w:sz w:val="16"/>
      <w:szCs w:val="16"/>
    </w:rPr>
  </w:style>
  <w:style w:type="paragraph" w:styleId="Header">
    <w:name w:val="header"/>
    <w:basedOn w:val="Normal"/>
    <w:link w:val="HeaderChar"/>
    <w:unhideWhenUsed/>
    <w:rsid w:val="0064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CC"/>
  </w:style>
  <w:style w:type="paragraph" w:styleId="Footer">
    <w:name w:val="footer"/>
    <w:basedOn w:val="Normal"/>
    <w:link w:val="FooterChar"/>
    <w:uiPriority w:val="99"/>
    <w:unhideWhenUsed/>
    <w:rsid w:val="0064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CC"/>
  </w:style>
  <w:style w:type="character" w:customStyle="1" w:styleId="Heading1Char">
    <w:name w:val="Heading 1 Char"/>
    <w:basedOn w:val="DefaultParagraphFont"/>
    <w:link w:val="Heading1"/>
    <w:uiPriority w:val="9"/>
    <w:rsid w:val="005510D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510DE"/>
    <w:pPr>
      <w:spacing w:line="259" w:lineRule="auto"/>
      <w:outlineLvl w:val="9"/>
    </w:pPr>
  </w:style>
  <w:style w:type="paragraph" w:styleId="TOC1">
    <w:name w:val="toc 1"/>
    <w:basedOn w:val="Normal"/>
    <w:next w:val="Normal"/>
    <w:autoRedefine/>
    <w:uiPriority w:val="39"/>
    <w:unhideWhenUsed/>
    <w:rsid w:val="00905963"/>
    <w:pPr>
      <w:spacing w:after="100"/>
    </w:pPr>
  </w:style>
  <w:style w:type="character" w:styleId="Hyperlink">
    <w:name w:val="Hyperlink"/>
    <w:basedOn w:val="DefaultParagraphFont"/>
    <w:uiPriority w:val="99"/>
    <w:unhideWhenUsed/>
    <w:rsid w:val="00905963"/>
    <w:rPr>
      <w:color w:val="0000FF" w:themeColor="hyperlink"/>
      <w:u w:val="single"/>
    </w:rPr>
  </w:style>
  <w:style w:type="character" w:customStyle="1" w:styleId="Heading2Char">
    <w:name w:val="Heading 2 Char"/>
    <w:basedOn w:val="DefaultParagraphFont"/>
    <w:link w:val="Heading2"/>
    <w:uiPriority w:val="9"/>
    <w:rsid w:val="0005552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05552B"/>
    <w:pPr>
      <w:spacing w:after="100"/>
      <w:ind w:left="220"/>
    </w:pPr>
  </w:style>
  <w:style w:type="character" w:customStyle="1" w:styleId="Heading3Char">
    <w:name w:val="Heading 3 Char"/>
    <w:basedOn w:val="DefaultParagraphFont"/>
    <w:link w:val="Heading3"/>
    <w:uiPriority w:val="9"/>
    <w:rsid w:val="00D453D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C76991"/>
    <w:pPr>
      <w:spacing w:after="100"/>
      <w:ind w:left="440"/>
    </w:pPr>
  </w:style>
  <w:style w:type="character" w:customStyle="1" w:styleId="Heading4Char">
    <w:name w:val="Heading 4 Char"/>
    <w:basedOn w:val="DefaultParagraphFont"/>
    <w:link w:val="Heading4"/>
    <w:uiPriority w:val="9"/>
    <w:rsid w:val="0004011C"/>
    <w:rPr>
      <w:rFonts w:asciiTheme="majorHAnsi" w:eastAsiaTheme="majorEastAsia" w:hAnsiTheme="majorHAnsi" w:cstheme="majorBidi"/>
      <w:i/>
      <w:iCs/>
      <w:color w:val="365F91" w:themeColor="accent1" w:themeShade="BF"/>
    </w:rPr>
  </w:style>
  <w:style w:type="character" w:styleId="IntenseEmphasis">
    <w:name w:val="Intense Emphasis"/>
    <w:basedOn w:val="DefaultParagraphFont"/>
    <w:uiPriority w:val="21"/>
    <w:qFormat/>
    <w:rsid w:val="00AB2AB0"/>
    <w:rPr>
      <w:i/>
      <w:iCs/>
      <w:color w:val="4F81BD" w:themeColor="accent1"/>
    </w:rPr>
  </w:style>
  <w:style w:type="paragraph" w:styleId="NormalWeb">
    <w:name w:val="Normal (Web)"/>
    <w:basedOn w:val="Normal"/>
    <w:uiPriority w:val="99"/>
    <w:semiHidden/>
    <w:unhideWhenUsed/>
    <w:rsid w:val="00AD51A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8490F"/>
  </w:style>
  <w:style w:type="character" w:customStyle="1" w:styleId="im">
    <w:name w:val="im"/>
    <w:basedOn w:val="DefaultParagraphFont"/>
    <w:rsid w:val="007327E8"/>
  </w:style>
  <w:style w:type="character" w:styleId="CommentReference">
    <w:name w:val="annotation reference"/>
    <w:basedOn w:val="DefaultParagraphFont"/>
    <w:uiPriority w:val="99"/>
    <w:semiHidden/>
    <w:unhideWhenUsed/>
    <w:rsid w:val="005930E5"/>
    <w:rPr>
      <w:sz w:val="16"/>
      <w:szCs w:val="16"/>
    </w:rPr>
  </w:style>
  <w:style w:type="paragraph" w:styleId="CommentText">
    <w:name w:val="annotation text"/>
    <w:basedOn w:val="Normal"/>
    <w:link w:val="CommentTextChar"/>
    <w:uiPriority w:val="99"/>
    <w:semiHidden/>
    <w:unhideWhenUsed/>
    <w:rsid w:val="005930E5"/>
    <w:pPr>
      <w:spacing w:line="240" w:lineRule="auto"/>
    </w:pPr>
    <w:rPr>
      <w:sz w:val="20"/>
      <w:szCs w:val="20"/>
    </w:rPr>
  </w:style>
  <w:style w:type="character" w:customStyle="1" w:styleId="CommentTextChar">
    <w:name w:val="Comment Text Char"/>
    <w:basedOn w:val="DefaultParagraphFont"/>
    <w:link w:val="CommentText"/>
    <w:uiPriority w:val="99"/>
    <w:semiHidden/>
    <w:rsid w:val="005930E5"/>
    <w:rPr>
      <w:sz w:val="20"/>
      <w:szCs w:val="20"/>
    </w:rPr>
  </w:style>
  <w:style w:type="paragraph" w:styleId="CommentSubject">
    <w:name w:val="annotation subject"/>
    <w:basedOn w:val="CommentText"/>
    <w:next w:val="CommentText"/>
    <w:link w:val="CommentSubjectChar"/>
    <w:uiPriority w:val="99"/>
    <w:semiHidden/>
    <w:unhideWhenUsed/>
    <w:rsid w:val="005930E5"/>
    <w:rPr>
      <w:b/>
      <w:bCs/>
    </w:rPr>
  </w:style>
  <w:style w:type="character" w:customStyle="1" w:styleId="CommentSubjectChar">
    <w:name w:val="Comment Subject Char"/>
    <w:basedOn w:val="CommentTextChar"/>
    <w:link w:val="CommentSubject"/>
    <w:uiPriority w:val="99"/>
    <w:semiHidden/>
    <w:rsid w:val="005930E5"/>
    <w:rPr>
      <w:b/>
      <w:bCs/>
      <w:sz w:val="20"/>
      <w:szCs w:val="20"/>
    </w:rPr>
  </w:style>
  <w:style w:type="paragraph" w:styleId="IntenseQuote">
    <w:name w:val="Intense Quote"/>
    <w:basedOn w:val="Normal"/>
    <w:next w:val="Normal"/>
    <w:link w:val="IntenseQuoteChar"/>
    <w:uiPriority w:val="30"/>
    <w:qFormat/>
    <w:rsid w:val="009229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229F8"/>
    <w:rPr>
      <w:i/>
      <w:iCs/>
      <w:color w:val="4F81BD" w:themeColor="accent1"/>
    </w:rPr>
  </w:style>
  <w:style w:type="paragraph" w:customStyle="1" w:styleId="Default">
    <w:name w:val="Default"/>
    <w:rsid w:val="00FE25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20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49E"/>
    <w:rPr>
      <w:sz w:val="20"/>
      <w:szCs w:val="20"/>
    </w:rPr>
  </w:style>
  <w:style w:type="character" w:styleId="FootnoteReference">
    <w:name w:val="footnote reference"/>
    <w:basedOn w:val="DefaultParagraphFont"/>
    <w:uiPriority w:val="99"/>
    <w:semiHidden/>
    <w:unhideWhenUsed/>
    <w:rsid w:val="00520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87812">
      <w:bodyDiv w:val="1"/>
      <w:marLeft w:val="0"/>
      <w:marRight w:val="0"/>
      <w:marTop w:val="0"/>
      <w:marBottom w:val="0"/>
      <w:divBdr>
        <w:top w:val="none" w:sz="0" w:space="0" w:color="auto"/>
        <w:left w:val="none" w:sz="0" w:space="0" w:color="auto"/>
        <w:bottom w:val="none" w:sz="0" w:space="0" w:color="auto"/>
        <w:right w:val="none" w:sz="0" w:space="0" w:color="auto"/>
      </w:divBdr>
    </w:div>
    <w:div w:id="835726886">
      <w:bodyDiv w:val="1"/>
      <w:marLeft w:val="0"/>
      <w:marRight w:val="0"/>
      <w:marTop w:val="0"/>
      <w:marBottom w:val="0"/>
      <w:divBdr>
        <w:top w:val="none" w:sz="0" w:space="0" w:color="auto"/>
        <w:left w:val="none" w:sz="0" w:space="0" w:color="auto"/>
        <w:bottom w:val="none" w:sz="0" w:space="0" w:color="auto"/>
        <w:right w:val="none" w:sz="0" w:space="0" w:color="auto"/>
      </w:divBdr>
      <w:divsChild>
        <w:div w:id="912740490">
          <w:marLeft w:val="0"/>
          <w:marRight w:val="0"/>
          <w:marTop w:val="0"/>
          <w:marBottom w:val="0"/>
          <w:divBdr>
            <w:top w:val="none" w:sz="0" w:space="0" w:color="auto"/>
            <w:left w:val="none" w:sz="0" w:space="0" w:color="auto"/>
            <w:bottom w:val="none" w:sz="0" w:space="0" w:color="auto"/>
            <w:right w:val="none" w:sz="0" w:space="0" w:color="auto"/>
          </w:divBdr>
          <w:divsChild>
            <w:div w:id="883954277">
              <w:marLeft w:val="0"/>
              <w:marRight w:val="0"/>
              <w:marTop w:val="0"/>
              <w:marBottom w:val="0"/>
              <w:divBdr>
                <w:top w:val="none" w:sz="0" w:space="0" w:color="auto"/>
                <w:left w:val="none" w:sz="0" w:space="0" w:color="auto"/>
                <w:bottom w:val="none" w:sz="0" w:space="0" w:color="auto"/>
                <w:right w:val="none" w:sz="0" w:space="0" w:color="auto"/>
              </w:divBdr>
              <w:divsChild>
                <w:div w:id="1723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8261">
          <w:marLeft w:val="0"/>
          <w:marRight w:val="0"/>
          <w:marTop w:val="0"/>
          <w:marBottom w:val="0"/>
          <w:divBdr>
            <w:top w:val="none" w:sz="0" w:space="0" w:color="auto"/>
            <w:left w:val="none" w:sz="0" w:space="0" w:color="auto"/>
            <w:bottom w:val="none" w:sz="0" w:space="0" w:color="auto"/>
            <w:right w:val="none" w:sz="0" w:space="0" w:color="auto"/>
          </w:divBdr>
          <w:divsChild>
            <w:div w:id="873663014">
              <w:marLeft w:val="0"/>
              <w:marRight w:val="0"/>
              <w:marTop w:val="0"/>
              <w:marBottom w:val="0"/>
              <w:divBdr>
                <w:top w:val="none" w:sz="0" w:space="0" w:color="auto"/>
                <w:left w:val="none" w:sz="0" w:space="0" w:color="auto"/>
                <w:bottom w:val="none" w:sz="0" w:space="0" w:color="auto"/>
                <w:right w:val="none" w:sz="0" w:space="0" w:color="auto"/>
              </w:divBdr>
              <w:divsChild>
                <w:div w:id="3027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6048">
      <w:bodyDiv w:val="1"/>
      <w:marLeft w:val="0"/>
      <w:marRight w:val="0"/>
      <w:marTop w:val="0"/>
      <w:marBottom w:val="0"/>
      <w:divBdr>
        <w:top w:val="none" w:sz="0" w:space="0" w:color="auto"/>
        <w:left w:val="none" w:sz="0" w:space="0" w:color="auto"/>
        <w:bottom w:val="none" w:sz="0" w:space="0" w:color="auto"/>
        <w:right w:val="none" w:sz="0" w:space="0" w:color="auto"/>
      </w:divBdr>
      <w:divsChild>
        <w:div w:id="1039433339">
          <w:marLeft w:val="0"/>
          <w:marRight w:val="0"/>
          <w:marTop w:val="0"/>
          <w:marBottom w:val="0"/>
          <w:divBdr>
            <w:top w:val="none" w:sz="0" w:space="0" w:color="auto"/>
            <w:left w:val="none" w:sz="0" w:space="0" w:color="auto"/>
            <w:bottom w:val="none" w:sz="0" w:space="0" w:color="auto"/>
            <w:right w:val="none" w:sz="0" w:space="0" w:color="auto"/>
          </w:divBdr>
          <w:divsChild>
            <w:div w:id="8769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alaska.edu/audi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9B18A-4924-4142-B9A9-5882F65F97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36CA76A1-F695-4BD8-B0B4-0BE043A99D7F}">
      <dgm:prSet phldrT="[Text]"/>
      <dgm:spPr/>
      <dgm:t>
        <a:bodyPr/>
        <a:lstStyle/>
        <a:p>
          <a:r>
            <a:rPr lang="en-US" b="1" i="1"/>
            <a:t>A&amp;CS:</a:t>
          </a:r>
        </a:p>
        <a:p>
          <a:r>
            <a:rPr lang="en-US" b="1" i="1"/>
            <a:t>Strategic Partners for Shaping Alaska’s Future</a:t>
          </a:r>
          <a:endParaRPr lang="en-US" b="1"/>
        </a:p>
      </dgm:t>
    </dgm:pt>
    <dgm:pt modelId="{B3D15F75-C58A-4437-9712-874B1FBC1DE7}" type="parTrans" cxnId="{990FF38F-967A-463C-B5D1-24B4B80040E9}">
      <dgm:prSet/>
      <dgm:spPr/>
      <dgm:t>
        <a:bodyPr/>
        <a:lstStyle/>
        <a:p>
          <a:endParaRPr lang="en-US"/>
        </a:p>
      </dgm:t>
    </dgm:pt>
    <dgm:pt modelId="{F54509C0-6630-4295-A355-6CA50291BA8F}" type="sibTrans" cxnId="{990FF38F-967A-463C-B5D1-24B4B80040E9}">
      <dgm:prSet/>
      <dgm:spPr/>
      <dgm:t>
        <a:bodyPr/>
        <a:lstStyle/>
        <a:p>
          <a:endParaRPr lang="en-US"/>
        </a:p>
      </dgm:t>
    </dgm:pt>
    <dgm:pt modelId="{1EE37168-18F7-4336-A261-64DCED32ACD0}">
      <dgm:prSet phldrT="[Text]"/>
      <dgm:spPr/>
      <dgm:t>
        <a:bodyPr/>
        <a:lstStyle/>
        <a:p>
          <a:r>
            <a:rPr lang="en-US"/>
            <a:t>Striving to be valued, trusted partners for the university’s administrative, academic and research units.</a:t>
          </a:r>
        </a:p>
      </dgm:t>
    </dgm:pt>
    <dgm:pt modelId="{919BF8DB-3AD5-4543-94D3-51DFB2F6A84C}" type="parTrans" cxnId="{1D117353-58C3-48A0-B30C-6556B7035806}">
      <dgm:prSet/>
      <dgm:spPr/>
      <dgm:t>
        <a:bodyPr/>
        <a:lstStyle/>
        <a:p>
          <a:endParaRPr lang="en-US"/>
        </a:p>
      </dgm:t>
    </dgm:pt>
    <dgm:pt modelId="{72C8279F-8870-4711-A41C-EE94B68CB63E}" type="sibTrans" cxnId="{1D117353-58C3-48A0-B30C-6556B7035806}">
      <dgm:prSet/>
      <dgm:spPr/>
      <dgm:t>
        <a:bodyPr/>
        <a:lstStyle/>
        <a:p>
          <a:endParaRPr lang="en-US"/>
        </a:p>
      </dgm:t>
    </dgm:pt>
    <dgm:pt modelId="{12EC469A-4867-4EA9-8B75-8CD3445FF1C0}">
      <dgm:prSet phldrT="[Text]"/>
      <dgm:spPr/>
      <dgm:t>
        <a:bodyPr/>
        <a:lstStyle/>
        <a:p>
          <a:r>
            <a:rPr lang="en-US"/>
            <a:t>Continuous learning and improvement are key components of the internal audit profession to help us become leaders in our industry.</a:t>
          </a:r>
        </a:p>
      </dgm:t>
    </dgm:pt>
    <dgm:pt modelId="{3D55FF6B-A7C6-430F-9C9A-E4292F92EE57}" type="parTrans" cxnId="{9BFCDAC6-E5A0-4D55-A457-0CB82E783460}">
      <dgm:prSet/>
      <dgm:spPr/>
      <dgm:t>
        <a:bodyPr/>
        <a:lstStyle/>
        <a:p>
          <a:endParaRPr lang="en-US"/>
        </a:p>
      </dgm:t>
    </dgm:pt>
    <dgm:pt modelId="{0DEC5A09-36F0-4729-B6C0-3DA3AF35C67C}" type="sibTrans" cxnId="{9BFCDAC6-E5A0-4D55-A457-0CB82E783460}">
      <dgm:prSet/>
      <dgm:spPr/>
      <dgm:t>
        <a:bodyPr/>
        <a:lstStyle/>
        <a:p>
          <a:endParaRPr lang="en-US"/>
        </a:p>
      </dgm:t>
    </dgm:pt>
    <dgm:pt modelId="{40F264D9-5A51-434F-AAA8-20D0CD78153A}">
      <dgm:prSet/>
      <dgm:spPr/>
      <dgm:t>
        <a:bodyPr/>
        <a:lstStyle/>
        <a:p>
          <a:r>
            <a:rPr lang="en-US"/>
            <a:t>Helping the university mitigate risks by performing consulting engagements, training and awareness presentations, audits and investigations.</a:t>
          </a:r>
        </a:p>
      </dgm:t>
    </dgm:pt>
    <dgm:pt modelId="{06ED39E0-B17D-411F-AC41-029B28E4922B}" type="parTrans" cxnId="{10607B29-366A-4C45-8535-426B4077318A}">
      <dgm:prSet/>
      <dgm:spPr/>
      <dgm:t>
        <a:bodyPr/>
        <a:lstStyle/>
        <a:p>
          <a:endParaRPr lang="en-US"/>
        </a:p>
      </dgm:t>
    </dgm:pt>
    <dgm:pt modelId="{0AB8335F-520B-42BC-87CE-5025FDAF31D9}" type="sibTrans" cxnId="{10607B29-366A-4C45-8535-426B4077318A}">
      <dgm:prSet/>
      <dgm:spPr/>
      <dgm:t>
        <a:bodyPr/>
        <a:lstStyle/>
        <a:p>
          <a:endParaRPr lang="en-US"/>
        </a:p>
      </dgm:t>
    </dgm:pt>
    <dgm:pt modelId="{ADFCA20D-4B54-4F70-97E9-2B9D987704BF}" type="pres">
      <dgm:prSet presAssocID="{79F9B18A-4924-4142-B9A9-5882F65F9705}" presName="cycle" presStyleCnt="0">
        <dgm:presLayoutVars>
          <dgm:chMax val="1"/>
          <dgm:dir/>
          <dgm:animLvl val="ctr"/>
          <dgm:resizeHandles val="exact"/>
        </dgm:presLayoutVars>
      </dgm:prSet>
      <dgm:spPr/>
      <dgm:t>
        <a:bodyPr/>
        <a:lstStyle/>
        <a:p>
          <a:endParaRPr lang="en-US"/>
        </a:p>
      </dgm:t>
    </dgm:pt>
    <dgm:pt modelId="{5A0A2FC8-D761-43F5-9173-E50E74FEC8B9}" type="pres">
      <dgm:prSet presAssocID="{36CA76A1-F695-4BD8-B0B4-0BE043A99D7F}" presName="centerShape" presStyleLbl="node0" presStyleIdx="0" presStyleCnt="1"/>
      <dgm:spPr/>
      <dgm:t>
        <a:bodyPr/>
        <a:lstStyle/>
        <a:p>
          <a:endParaRPr lang="en-US"/>
        </a:p>
      </dgm:t>
    </dgm:pt>
    <dgm:pt modelId="{5251F481-EA96-4421-A5FF-1B96656C2F0B}" type="pres">
      <dgm:prSet presAssocID="{919BF8DB-3AD5-4543-94D3-51DFB2F6A84C}" presName="parTrans" presStyleLbl="bgSibTrans2D1" presStyleIdx="0" presStyleCnt="3"/>
      <dgm:spPr/>
      <dgm:t>
        <a:bodyPr/>
        <a:lstStyle/>
        <a:p>
          <a:endParaRPr lang="en-US"/>
        </a:p>
      </dgm:t>
    </dgm:pt>
    <dgm:pt modelId="{DFFF621F-FAC5-4D3A-A251-6B76146E24C8}" type="pres">
      <dgm:prSet presAssocID="{1EE37168-18F7-4336-A261-64DCED32ACD0}" presName="node" presStyleLbl="node1" presStyleIdx="0" presStyleCnt="3">
        <dgm:presLayoutVars>
          <dgm:bulletEnabled val="1"/>
        </dgm:presLayoutVars>
      </dgm:prSet>
      <dgm:spPr/>
      <dgm:t>
        <a:bodyPr/>
        <a:lstStyle/>
        <a:p>
          <a:endParaRPr lang="en-US"/>
        </a:p>
      </dgm:t>
    </dgm:pt>
    <dgm:pt modelId="{A46D6F43-D99D-4035-9FDF-6630F37CBC51}" type="pres">
      <dgm:prSet presAssocID="{3D55FF6B-A7C6-430F-9C9A-E4292F92EE57}" presName="parTrans" presStyleLbl="bgSibTrans2D1" presStyleIdx="1" presStyleCnt="3"/>
      <dgm:spPr/>
      <dgm:t>
        <a:bodyPr/>
        <a:lstStyle/>
        <a:p>
          <a:endParaRPr lang="en-US"/>
        </a:p>
      </dgm:t>
    </dgm:pt>
    <dgm:pt modelId="{335D64B2-A430-4995-8405-BCF836AA4749}" type="pres">
      <dgm:prSet presAssocID="{12EC469A-4867-4EA9-8B75-8CD3445FF1C0}" presName="node" presStyleLbl="node1" presStyleIdx="1" presStyleCnt="3" custRadScaleRad="100007" custRadScaleInc="-884">
        <dgm:presLayoutVars>
          <dgm:bulletEnabled val="1"/>
        </dgm:presLayoutVars>
      </dgm:prSet>
      <dgm:spPr/>
      <dgm:t>
        <a:bodyPr/>
        <a:lstStyle/>
        <a:p>
          <a:endParaRPr lang="en-US"/>
        </a:p>
      </dgm:t>
    </dgm:pt>
    <dgm:pt modelId="{3E403B70-78C1-413B-AC6B-4294D952F4E8}" type="pres">
      <dgm:prSet presAssocID="{06ED39E0-B17D-411F-AC41-029B28E4922B}" presName="parTrans" presStyleLbl="bgSibTrans2D1" presStyleIdx="2" presStyleCnt="3"/>
      <dgm:spPr/>
      <dgm:t>
        <a:bodyPr/>
        <a:lstStyle/>
        <a:p>
          <a:endParaRPr lang="en-US"/>
        </a:p>
      </dgm:t>
    </dgm:pt>
    <dgm:pt modelId="{E3E8B5E3-E9D0-4934-9802-60DFB2C8968B}" type="pres">
      <dgm:prSet presAssocID="{40F264D9-5A51-434F-AAA8-20D0CD78153A}" presName="node" presStyleLbl="node1" presStyleIdx="2" presStyleCnt="3">
        <dgm:presLayoutVars>
          <dgm:bulletEnabled val="1"/>
        </dgm:presLayoutVars>
      </dgm:prSet>
      <dgm:spPr/>
      <dgm:t>
        <a:bodyPr/>
        <a:lstStyle/>
        <a:p>
          <a:endParaRPr lang="en-US"/>
        </a:p>
      </dgm:t>
    </dgm:pt>
  </dgm:ptLst>
  <dgm:cxnLst>
    <dgm:cxn modelId="{2F07E474-549F-4126-8EBF-20E4D8FBC235}" type="presOf" srcId="{79F9B18A-4924-4142-B9A9-5882F65F9705}" destId="{ADFCA20D-4B54-4F70-97E9-2B9D987704BF}" srcOrd="0" destOrd="0" presId="urn:microsoft.com/office/officeart/2005/8/layout/radial4"/>
    <dgm:cxn modelId="{9BFCDAC6-E5A0-4D55-A457-0CB82E783460}" srcId="{36CA76A1-F695-4BD8-B0B4-0BE043A99D7F}" destId="{12EC469A-4867-4EA9-8B75-8CD3445FF1C0}" srcOrd="1" destOrd="0" parTransId="{3D55FF6B-A7C6-430F-9C9A-E4292F92EE57}" sibTransId="{0DEC5A09-36F0-4729-B6C0-3DA3AF35C67C}"/>
    <dgm:cxn modelId="{CC4F299B-E7F0-4D6A-A9E7-20C5214B1FA5}" type="presOf" srcId="{1EE37168-18F7-4336-A261-64DCED32ACD0}" destId="{DFFF621F-FAC5-4D3A-A251-6B76146E24C8}" srcOrd="0" destOrd="0" presId="urn:microsoft.com/office/officeart/2005/8/layout/radial4"/>
    <dgm:cxn modelId="{10607B29-366A-4C45-8535-426B4077318A}" srcId="{36CA76A1-F695-4BD8-B0B4-0BE043A99D7F}" destId="{40F264D9-5A51-434F-AAA8-20D0CD78153A}" srcOrd="2" destOrd="0" parTransId="{06ED39E0-B17D-411F-AC41-029B28E4922B}" sibTransId="{0AB8335F-520B-42BC-87CE-5025FDAF31D9}"/>
    <dgm:cxn modelId="{CD088954-6923-4ACE-8720-C39CAD841FAC}" type="presOf" srcId="{919BF8DB-3AD5-4543-94D3-51DFB2F6A84C}" destId="{5251F481-EA96-4421-A5FF-1B96656C2F0B}" srcOrd="0" destOrd="0" presId="urn:microsoft.com/office/officeart/2005/8/layout/radial4"/>
    <dgm:cxn modelId="{F86F0DCF-7E47-4512-B732-525D23339249}" type="presOf" srcId="{36CA76A1-F695-4BD8-B0B4-0BE043A99D7F}" destId="{5A0A2FC8-D761-43F5-9173-E50E74FEC8B9}" srcOrd="0" destOrd="0" presId="urn:microsoft.com/office/officeart/2005/8/layout/radial4"/>
    <dgm:cxn modelId="{BF3B6661-1A59-49F3-9C49-7919A1925A10}" type="presOf" srcId="{06ED39E0-B17D-411F-AC41-029B28E4922B}" destId="{3E403B70-78C1-413B-AC6B-4294D952F4E8}" srcOrd="0" destOrd="0" presId="urn:microsoft.com/office/officeart/2005/8/layout/radial4"/>
    <dgm:cxn modelId="{A343B45E-0580-438C-AB2C-CE71960A908C}" type="presOf" srcId="{40F264D9-5A51-434F-AAA8-20D0CD78153A}" destId="{E3E8B5E3-E9D0-4934-9802-60DFB2C8968B}" srcOrd="0" destOrd="0" presId="urn:microsoft.com/office/officeart/2005/8/layout/radial4"/>
    <dgm:cxn modelId="{1D117353-58C3-48A0-B30C-6556B7035806}" srcId="{36CA76A1-F695-4BD8-B0B4-0BE043A99D7F}" destId="{1EE37168-18F7-4336-A261-64DCED32ACD0}" srcOrd="0" destOrd="0" parTransId="{919BF8DB-3AD5-4543-94D3-51DFB2F6A84C}" sibTransId="{72C8279F-8870-4711-A41C-EE94B68CB63E}"/>
    <dgm:cxn modelId="{F910A237-1D4A-4EC4-BB2E-D59249F022F6}" type="presOf" srcId="{3D55FF6B-A7C6-430F-9C9A-E4292F92EE57}" destId="{A46D6F43-D99D-4035-9FDF-6630F37CBC51}" srcOrd="0" destOrd="0" presId="urn:microsoft.com/office/officeart/2005/8/layout/radial4"/>
    <dgm:cxn modelId="{766C33B5-D670-47C2-A109-1019A45FE3B8}" type="presOf" srcId="{12EC469A-4867-4EA9-8B75-8CD3445FF1C0}" destId="{335D64B2-A430-4995-8405-BCF836AA4749}" srcOrd="0" destOrd="0" presId="urn:microsoft.com/office/officeart/2005/8/layout/radial4"/>
    <dgm:cxn modelId="{990FF38F-967A-463C-B5D1-24B4B80040E9}" srcId="{79F9B18A-4924-4142-B9A9-5882F65F9705}" destId="{36CA76A1-F695-4BD8-B0B4-0BE043A99D7F}" srcOrd="0" destOrd="0" parTransId="{B3D15F75-C58A-4437-9712-874B1FBC1DE7}" sibTransId="{F54509C0-6630-4295-A355-6CA50291BA8F}"/>
    <dgm:cxn modelId="{90B91CC3-A66E-48CB-8C34-4E5517C3AA31}" type="presParOf" srcId="{ADFCA20D-4B54-4F70-97E9-2B9D987704BF}" destId="{5A0A2FC8-D761-43F5-9173-E50E74FEC8B9}" srcOrd="0" destOrd="0" presId="urn:microsoft.com/office/officeart/2005/8/layout/radial4"/>
    <dgm:cxn modelId="{13F2D4BE-5438-4443-B882-91869535031D}" type="presParOf" srcId="{ADFCA20D-4B54-4F70-97E9-2B9D987704BF}" destId="{5251F481-EA96-4421-A5FF-1B96656C2F0B}" srcOrd="1" destOrd="0" presId="urn:microsoft.com/office/officeart/2005/8/layout/radial4"/>
    <dgm:cxn modelId="{8FE94E36-0686-4218-970F-8D4A9F7601B1}" type="presParOf" srcId="{ADFCA20D-4B54-4F70-97E9-2B9D987704BF}" destId="{DFFF621F-FAC5-4D3A-A251-6B76146E24C8}" srcOrd="2" destOrd="0" presId="urn:microsoft.com/office/officeart/2005/8/layout/radial4"/>
    <dgm:cxn modelId="{8B00C78F-4F75-4789-B4BC-57721DFA4970}" type="presParOf" srcId="{ADFCA20D-4B54-4F70-97E9-2B9D987704BF}" destId="{A46D6F43-D99D-4035-9FDF-6630F37CBC51}" srcOrd="3" destOrd="0" presId="urn:microsoft.com/office/officeart/2005/8/layout/radial4"/>
    <dgm:cxn modelId="{868DA071-285E-4368-B97C-28AFB0D89E0F}" type="presParOf" srcId="{ADFCA20D-4B54-4F70-97E9-2B9D987704BF}" destId="{335D64B2-A430-4995-8405-BCF836AA4749}" srcOrd="4" destOrd="0" presId="urn:microsoft.com/office/officeart/2005/8/layout/radial4"/>
    <dgm:cxn modelId="{BE10EB83-3F99-433D-825A-DE72C324F3F4}" type="presParOf" srcId="{ADFCA20D-4B54-4F70-97E9-2B9D987704BF}" destId="{3E403B70-78C1-413B-AC6B-4294D952F4E8}" srcOrd="5" destOrd="0" presId="urn:microsoft.com/office/officeart/2005/8/layout/radial4"/>
    <dgm:cxn modelId="{87466328-470C-4B46-B063-E9854B414E1C}" type="presParOf" srcId="{ADFCA20D-4B54-4F70-97E9-2B9D987704BF}" destId="{E3E8B5E3-E9D0-4934-9802-60DFB2C8968B}" srcOrd="6"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A2FC8-D761-43F5-9173-E50E74FEC8B9}">
      <dsp:nvSpPr>
        <dsp:cNvPr id="0" name=""/>
        <dsp:cNvSpPr/>
      </dsp:nvSpPr>
      <dsp:spPr>
        <a:xfrm>
          <a:off x="1724840" y="2078002"/>
          <a:ext cx="1590948" cy="15909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1" i="1" kern="1200"/>
            <a:t>A&amp;CS:</a:t>
          </a:r>
        </a:p>
        <a:p>
          <a:pPr lvl="0" algn="ctr" defTabSz="577850">
            <a:lnSpc>
              <a:spcPct val="90000"/>
            </a:lnSpc>
            <a:spcBef>
              <a:spcPct val="0"/>
            </a:spcBef>
            <a:spcAft>
              <a:spcPct val="35000"/>
            </a:spcAft>
          </a:pPr>
          <a:r>
            <a:rPr lang="en-US" sz="1300" b="1" i="1" kern="1200"/>
            <a:t>Strategic Partners for Shaping Alaska’s Future</a:t>
          </a:r>
          <a:endParaRPr lang="en-US" sz="1300" b="1" kern="1200"/>
        </a:p>
      </dsp:txBody>
      <dsp:txXfrm>
        <a:off x="1957829" y="2310991"/>
        <a:ext cx="1124970" cy="1124970"/>
      </dsp:txXfrm>
    </dsp:sp>
    <dsp:sp modelId="{5251F481-EA96-4421-A5FF-1B96656C2F0B}">
      <dsp:nvSpPr>
        <dsp:cNvPr id="0" name=""/>
        <dsp:cNvSpPr/>
      </dsp:nvSpPr>
      <dsp:spPr>
        <a:xfrm rot="12900000">
          <a:off x="642604" y="1780410"/>
          <a:ext cx="1280850" cy="45342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FF621F-FAC5-4D3A-A251-6B76146E24C8}">
      <dsp:nvSpPr>
        <dsp:cNvPr id="0" name=""/>
        <dsp:cNvSpPr/>
      </dsp:nvSpPr>
      <dsp:spPr>
        <a:xfrm>
          <a:off x="2723" y="1035227"/>
          <a:ext cx="1511401" cy="120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Striving to be valued, trusted partners for the university’s administrative, academic and research units.</a:t>
          </a:r>
        </a:p>
      </dsp:txBody>
      <dsp:txXfrm>
        <a:off x="38137" y="1070641"/>
        <a:ext cx="1440573" cy="1138293"/>
      </dsp:txXfrm>
    </dsp:sp>
    <dsp:sp modelId="{A46D6F43-D99D-4035-9FDF-6630F37CBC51}">
      <dsp:nvSpPr>
        <dsp:cNvPr id="0" name=""/>
        <dsp:cNvSpPr/>
      </dsp:nvSpPr>
      <dsp:spPr>
        <a:xfrm rot="16168176">
          <a:off x="1865835" y="1136305"/>
          <a:ext cx="1280992" cy="45342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5D64B2-A430-4995-8405-BCF836AA4749}">
      <dsp:nvSpPr>
        <dsp:cNvPr id="0" name=""/>
        <dsp:cNvSpPr/>
      </dsp:nvSpPr>
      <dsp:spPr>
        <a:xfrm>
          <a:off x="1744702" y="117986"/>
          <a:ext cx="1511401" cy="120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Continuous learning and improvement are key components of the internal audit profession to help us become leaders in our industry.</a:t>
          </a:r>
        </a:p>
      </dsp:txBody>
      <dsp:txXfrm>
        <a:off x="1780116" y="153400"/>
        <a:ext cx="1440573" cy="1138293"/>
      </dsp:txXfrm>
    </dsp:sp>
    <dsp:sp modelId="{3E403B70-78C1-413B-AC6B-4294D952F4E8}">
      <dsp:nvSpPr>
        <dsp:cNvPr id="0" name=""/>
        <dsp:cNvSpPr/>
      </dsp:nvSpPr>
      <dsp:spPr>
        <a:xfrm rot="19500000">
          <a:off x="3117175" y="1780410"/>
          <a:ext cx="1280850" cy="45342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E8B5E3-E9D0-4934-9802-60DFB2C8968B}">
      <dsp:nvSpPr>
        <dsp:cNvPr id="0" name=""/>
        <dsp:cNvSpPr/>
      </dsp:nvSpPr>
      <dsp:spPr>
        <a:xfrm>
          <a:off x="3526505" y="1035227"/>
          <a:ext cx="1511401" cy="120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Helping the university mitigate risks by performing consulting engagements, training and awareness presentations, audits and investigations.</a:t>
          </a:r>
        </a:p>
      </dsp:txBody>
      <dsp:txXfrm>
        <a:off x="3561919" y="1070641"/>
        <a:ext cx="1440573" cy="11382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FD47-BF12-44E2-A171-D9D84941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 Pittman</dc:creator>
  <cp:lastModifiedBy>Nikki L Pittman</cp:lastModifiedBy>
  <cp:revision>110</cp:revision>
  <cp:lastPrinted>2017-08-14T23:39:00Z</cp:lastPrinted>
  <dcterms:created xsi:type="dcterms:W3CDTF">2016-10-10T16:46:00Z</dcterms:created>
  <dcterms:modified xsi:type="dcterms:W3CDTF">2017-08-14T23:52:00Z</dcterms:modified>
</cp:coreProperties>
</file>