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57" w:rsidRPr="00746AD9" w:rsidRDefault="007865B8" w:rsidP="009474E5">
      <w:pPr>
        <w:rPr>
          <w:sz w:val="24"/>
          <w:szCs w:val="24"/>
        </w:rPr>
      </w:pPr>
      <w:r w:rsidRPr="00746AD9">
        <w:rPr>
          <w:sz w:val="24"/>
          <w:szCs w:val="24"/>
        </w:rPr>
        <w:t xml:space="preserve">In the past, risk has been viewed negatively as something to be avoided or eliminated.  There is now increasing awareness that successful risk taking leads to a competitive advantage and a maximization of stakeholder value. </w:t>
      </w:r>
      <w:r w:rsidR="009B3257" w:rsidRPr="00746AD9">
        <w:rPr>
          <w:sz w:val="24"/>
          <w:szCs w:val="24"/>
        </w:rPr>
        <w:t xml:space="preserve">  This document provides an overview of how </w:t>
      </w:r>
      <w:r w:rsidR="00FE064A" w:rsidRPr="00746AD9">
        <w:rPr>
          <w:sz w:val="24"/>
          <w:szCs w:val="24"/>
        </w:rPr>
        <w:t>internal vision</w:t>
      </w:r>
      <w:r w:rsidR="009B3257" w:rsidRPr="00746AD9">
        <w:rPr>
          <w:sz w:val="24"/>
          <w:szCs w:val="24"/>
        </w:rPr>
        <w:t xml:space="preserve"> can be more quickly </w:t>
      </w:r>
      <w:r w:rsidR="00056617" w:rsidRPr="00746AD9">
        <w:rPr>
          <w:sz w:val="24"/>
          <w:szCs w:val="24"/>
        </w:rPr>
        <w:t xml:space="preserve">and effectively </w:t>
      </w:r>
      <w:r w:rsidR="009B3257" w:rsidRPr="00746AD9">
        <w:rPr>
          <w:sz w:val="24"/>
          <w:szCs w:val="24"/>
        </w:rPr>
        <w:t xml:space="preserve">realized through adopting the enterprise risk management philosophy and strategy.  </w:t>
      </w:r>
    </w:p>
    <w:p w:rsidR="00874515" w:rsidRPr="00746AD9" w:rsidRDefault="00874515" w:rsidP="009474E5">
      <w:pPr>
        <w:rPr>
          <w:sz w:val="24"/>
          <w:szCs w:val="24"/>
        </w:rPr>
      </w:pPr>
      <w:r w:rsidRPr="00746AD9">
        <w:rPr>
          <w:sz w:val="24"/>
          <w:szCs w:val="24"/>
        </w:rPr>
        <w:t xml:space="preserve">The </w:t>
      </w:r>
      <w:r w:rsidR="00503DE2" w:rsidRPr="00746AD9">
        <w:rPr>
          <w:sz w:val="24"/>
          <w:szCs w:val="24"/>
        </w:rPr>
        <w:t xml:space="preserve">overview </w:t>
      </w:r>
      <w:r w:rsidRPr="00746AD9">
        <w:rPr>
          <w:sz w:val="24"/>
          <w:szCs w:val="24"/>
        </w:rPr>
        <w:t>is organized into these sections:</w:t>
      </w:r>
    </w:p>
    <w:p w:rsidR="00874515" w:rsidRPr="00746AD9" w:rsidRDefault="00874515" w:rsidP="009474E5">
      <w:pPr>
        <w:pStyle w:val="ListParagraph"/>
        <w:numPr>
          <w:ilvl w:val="0"/>
          <w:numId w:val="8"/>
        </w:numPr>
        <w:spacing w:after="0"/>
        <w:rPr>
          <w:sz w:val="24"/>
          <w:szCs w:val="24"/>
        </w:rPr>
      </w:pPr>
      <w:r w:rsidRPr="00746AD9">
        <w:rPr>
          <w:sz w:val="24"/>
          <w:szCs w:val="24"/>
        </w:rPr>
        <w:t>Organization Stewardship</w:t>
      </w:r>
    </w:p>
    <w:p w:rsidR="00874515" w:rsidRPr="00746AD9" w:rsidRDefault="009B3257" w:rsidP="009474E5">
      <w:pPr>
        <w:pStyle w:val="ListParagraph"/>
        <w:numPr>
          <w:ilvl w:val="0"/>
          <w:numId w:val="8"/>
        </w:numPr>
        <w:spacing w:after="0"/>
        <w:rPr>
          <w:sz w:val="24"/>
          <w:szCs w:val="24"/>
        </w:rPr>
      </w:pPr>
      <w:r w:rsidRPr="00746AD9">
        <w:rPr>
          <w:sz w:val="24"/>
          <w:szCs w:val="24"/>
        </w:rPr>
        <w:t>R</w:t>
      </w:r>
      <w:r w:rsidR="00874515" w:rsidRPr="00746AD9">
        <w:rPr>
          <w:sz w:val="24"/>
          <w:szCs w:val="24"/>
        </w:rPr>
        <w:t>esponsib</w:t>
      </w:r>
      <w:r w:rsidRPr="00746AD9">
        <w:rPr>
          <w:sz w:val="24"/>
          <w:szCs w:val="24"/>
        </w:rPr>
        <w:t>i</w:t>
      </w:r>
      <w:r w:rsidR="00874515" w:rsidRPr="00746AD9">
        <w:rPr>
          <w:sz w:val="24"/>
          <w:szCs w:val="24"/>
        </w:rPr>
        <w:t>l</w:t>
      </w:r>
      <w:r w:rsidRPr="00746AD9">
        <w:rPr>
          <w:sz w:val="24"/>
          <w:szCs w:val="24"/>
        </w:rPr>
        <w:t>ity</w:t>
      </w:r>
      <w:r w:rsidR="00874515" w:rsidRPr="00746AD9">
        <w:rPr>
          <w:sz w:val="24"/>
          <w:szCs w:val="24"/>
        </w:rPr>
        <w:t xml:space="preserve"> for Risk Management and Internal Control</w:t>
      </w:r>
    </w:p>
    <w:p w:rsidR="00874515" w:rsidRPr="00746AD9" w:rsidRDefault="00874515" w:rsidP="009474E5">
      <w:pPr>
        <w:pStyle w:val="ListParagraph"/>
        <w:numPr>
          <w:ilvl w:val="0"/>
          <w:numId w:val="8"/>
        </w:numPr>
        <w:spacing w:after="0"/>
        <w:rPr>
          <w:sz w:val="24"/>
          <w:szCs w:val="24"/>
        </w:rPr>
      </w:pPr>
      <w:r w:rsidRPr="00746AD9">
        <w:rPr>
          <w:sz w:val="24"/>
          <w:szCs w:val="24"/>
        </w:rPr>
        <w:t>Internal Control</w:t>
      </w:r>
      <w:r w:rsidR="009B3257" w:rsidRPr="00746AD9">
        <w:rPr>
          <w:sz w:val="24"/>
          <w:szCs w:val="24"/>
        </w:rPr>
        <w:t xml:space="preserve"> Defined</w:t>
      </w:r>
    </w:p>
    <w:p w:rsidR="00874515" w:rsidRPr="00746AD9" w:rsidRDefault="00874515" w:rsidP="009474E5">
      <w:pPr>
        <w:pStyle w:val="ListParagraph"/>
        <w:numPr>
          <w:ilvl w:val="0"/>
          <w:numId w:val="8"/>
        </w:numPr>
        <w:spacing w:after="0"/>
        <w:rPr>
          <w:sz w:val="24"/>
          <w:szCs w:val="24"/>
        </w:rPr>
      </w:pPr>
      <w:r w:rsidRPr="00746AD9">
        <w:rPr>
          <w:sz w:val="24"/>
          <w:szCs w:val="24"/>
        </w:rPr>
        <w:t>Enterprise Risk Management</w:t>
      </w:r>
      <w:r w:rsidR="009B3257" w:rsidRPr="00746AD9">
        <w:rPr>
          <w:sz w:val="24"/>
          <w:szCs w:val="24"/>
        </w:rPr>
        <w:t xml:space="preserve"> Defined</w:t>
      </w:r>
    </w:p>
    <w:p w:rsidR="00874515" w:rsidRPr="00746AD9" w:rsidRDefault="00874515" w:rsidP="009474E5">
      <w:pPr>
        <w:pStyle w:val="ListParagraph"/>
        <w:numPr>
          <w:ilvl w:val="0"/>
          <w:numId w:val="8"/>
        </w:numPr>
        <w:spacing w:after="0"/>
        <w:contextualSpacing w:val="0"/>
        <w:rPr>
          <w:sz w:val="24"/>
          <w:szCs w:val="24"/>
        </w:rPr>
      </w:pPr>
      <w:r w:rsidRPr="00746AD9">
        <w:rPr>
          <w:sz w:val="24"/>
          <w:szCs w:val="24"/>
        </w:rPr>
        <w:t>Components of Enterprise Risk Management</w:t>
      </w:r>
    </w:p>
    <w:p w:rsidR="00503DE2" w:rsidRPr="00746AD9" w:rsidRDefault="00503DE2" w:rsidP="009474E5">
      <w:pPr>
        <w:pStyle w:val="ListParagraph"/>
        <w:numPr>
          <w:ilvl w:val="0"/>
          <w:numId w:val="8"/>
        </w:numPr>
        <w:spacing w:after="0"/>
        <w:contextualSpacing w:val="0"/>
        <w:rPr>
          <w:sz w:val="24"/>
          <w:szCs w:val="24"/>
        </w:rPr>
      </w:pPr>
      <w:r w:rsidRPr="00746AD9">
        <w:rPr>
          <w:sz w:val="24"/>
          <w:szCs w:val="24"/>
        </w:rPr>
        <w:t>Goals of Enterprise Risk Management</w:t>
      </w:r>
    </w:p>
    <w:p w:rsidR="00086F0D" w:rsidRPr="00746AD9" w:rsidRDefault="00086F0D" w:rsidP="009474E5">
      <w:pPr>
        <w:pStyle w:val="ListParagraph"/>
        <w:spacing w:after="0"/>
        <w:ind w:left="360"/>
        <w:contextualSpacing w:val="0"/>
        <w:rPr>
          <w:sz w:val="24"/>
          <w:szCs w:val="24"/>
        </w:rPr>
      </w:pPr>
    </w:p>
    <w:p w:rsidR="00570535" w:rsidRPr="00746AD9" w:rsidRDefault="00570535" w:rsidP="009474E5">
      <w:pPr>
        <w:pStyle w:val="ListParagraph"/>
        <w:numPr>
          <w:ilvl w:val="0"/>
          <w:numId w:val="9"/>
        </w:numPr>
        <w:spacing w:after="0"/>
        <w:rPr>
          <w:b/>
          <w:sz w:val="24"/>
          <w:szCs w:val="24"/>
          <w:u w:val="single"/>
        </w:rPr>
      </w:pPr>
      <w:r w:rsidRPr="00746AD9">
        <w:rPr>
          <w:b/>
          <w:sz w:val="24"/>
          <w:szCs w:val="24"/>
          <w:u w:val="single"/>
        </w:rPr>
        <w:t>Organization Stewardship</w:t>
      </w:r>
    </w:p>
    <w:p w:rsidR="00601B10" w:rsidRPr="00746AD9" w:rsidRDefault="00601B10" w:rsidP="009474E5">
      <w:pPr>
        <w:spacing w:after="0"/>
        <w:ind w:left="360"/>
        <w:rPr>
          <w:sz w:val="24"/>
          <w:szCs w:val="24"/>
        </w:rPr>
      </w:pPr>
      <w:r w:rsidRPr="00746AD9">
        <w:rPr>
          <w:sz w:val="24"/>
          <w:szCs w:val="24"/>
        </w:rPr>
        <w:t>Sound stewardship is the backbone of  the University of Alaska’s (UA) core values:</w:t>
      </w:r>
    </w:p>
    <w:p w:rsidR="00601B10" w:rsidRPr="00746AD9" w:rsidRDefault="00601B10" w:rsidP="009474E5">
      <w:pPr>
        <w:spacing w:after="0"/>
        <w:ind w:left="360"/>
        <w:rPr>
          <w:sz w:val="24"/>
          <w:szCs w:val="24"/>
        </w:rPr>
      </w:pPr>
    </w:p>
    <w:p w:rsidR="00601B10" w:rsidRPr="00746AD9" w:rsidRDefault="00601B10" w:rsidP="009474E5">
      <w:pPr>
        <w:spacing w:after="0"/>
        <w:ind w:left="1080"/>
        <w:outlineLvl w:val="2"/>
        <w:rPr>
          <w:rFonts w:eastAsia="Times New Roman" w:cs="Times New Roman"/>
          <w:b/>
          <w:bCs/>
          <w:sz w:val="24"/>
          <w:szCs w:val="24"/>
        </w:rPr>
      </w:pPr>
      <w:r w:rsidRPr="00746AD9">
        <w:rPr>
          <w:rFonts w:eastAsia="Times New Roman" w:cs="Times New Roman"/>
          <w:b/>
          <w:bCs/>
          <w:sz w:val="24"/>
          <w:szCs w:val="24"/>
        </w:rPr>
        <w:t>UA Values:</w:t>
      </w:r>
    </w:p>
    <w:p w:rsidR="00601B10" w:rsidRPr="00746AD9" w:rsidRDefault="00601B10" w:rsidP="009474E5">
      <w:pPr>
        <w:spacing w:after="0"/>
        <w:ind w:left="1080"/>
        <w:rPr>
          <w:rFonts w:eastAsia="Times New Roman" w:cs="Times New Roman"/>
          <w:sz w:val="24"/>
          <w:szCs w:val="24"/>
        </w:rPr>
      </w:pPr>
      <w:r w:rsidRPr="00746AD9">
        <w:rPr>
          <w:rFonts w:eastAsia="Times New Roman" w:cs="Times New Roman"/>
          <w:b/>
          <w:bCs/>
          <w:color w:val="0000FF"/>
          <w:sz w:val="24"/>
          <w:szCs w:val="24"/>
        </w:rPr>
        <w:t xml:space="preserve">U </w:t>
      </w:r>
      <w:r w:rsidRPr="00746AD9">
        <w:rPr>
          <w:rFonts w:eastAsia="Times New Roman" w:cs="Times New Roman"/>
          <w:sz w:val="24"/>
          <w:szCs w:val="24"/>
        </w:rPr>
        <w:t xml:space="preserve">nity in promoting communication and collaboration. </w:t>
      </w:r>
      <w:r w:rsidRPr="00746AD9">
        <w:rPr>
          <w:rFonts w:eastAsia="Times New Roman" w:cs="Times New Roman"/>
          <w:sz w:val="24"/>
          <w:szCs w:val="24"/>
        </w:rPr>
        <w:br w:type="textWrapping" w:clear="left"/>
      </w:r>
      <w:r w:rsidRPr="00746AD9">
        <w:rPr>
          <w:rFonts w:eastAsia="Times New Roman" w:cs="Times New Roman"/>
          <w:b/>
          <w:bCs/>
          <w:color w:val="0000FF"/>
          <w:sz w:val="24"/>
          <w:szCs w:val="24"/>
        </w:rPr>
        <w:t xml:space="preserve">A </w:t>
      </w:r>
      <w:r w:rsidRPr="00746AD9">
        <w:rPr>
          <w:rFonts w:eastAsia="Times New Roman" w:cs="Times New Roman"/>
          <w:sz w:val="24"/>
          <w:szCs w:val="24"/>
        </w:rPr>
        <w:t>ccountability to our students, faculty, staff, alumni, and the diverse peoples of Alaska.</w:t>
      </w:r>
    </w:p>
    <w:p w:rsidR="00601B10" w:rsidRPr="00746AD9" w:rsidRDefault="00601B10" w:rsidP="009474E5">
      <w:pPr>
        <w:spacing w:after="0"/>
        <w:ind w:left="1080"/>
        <w:rPr>
          <w:rFonts w:eastAsia="Times New Roman" w:cs="Times New Roman"/>
          <w:sz w:val="24"/>
          <w:szCs w:val="24"/>
        </w:rPr>
      </w:pPr>
      <w:r w:rsidRPr="00746AD9">
        <w:rPr>
          <w:rFonts w:eastAsia="Times New Roman" w:cs="Times New Roman"/>
          <w:b/>
          <w:bCs/>
          <w:color w:val="0000FF"/>
          <w:sz w:val="24"/>
          <w:szCs w:val="24"/>
        </w:rPr>
        <w:t>L</w:t>
      </w:r>
      <w:r w:rsidRPr="00746AD9">
        <w:rPr>
          <w:rFonts w:eastAsia="Times New Roman" w:cs="Times New Roman"/>
          <w:color w:val="0000FF"/>
          <w:sz w:val="24"/>
          <w:szCs w:val="24"/>
        </w:rPr>
        <w:t xml:space="preserve"> </w:t>
      </w:r>
      <w:r w:rsidRPr="00746AD9">
        <w:rPr>
          <w:rFonts w:eastAsia="Times New Roman" w:cs="Times New Roman"/>
          <w:sz w:val="24"/>
          <w:szCs w:val="24"/>
        </w:rPr>
        <w:t xml:space="preserve">eadership for Alaska's people and institutions. </w:t>
      </w:r>
      <w:r w:rsidRPr="00746AD9">
        <w:rPr>
          <w:rFonts w:eastAsia="Times New Roman" w:cs="Times New Roman"/>
          <w:b/>
          <w:bCs/>
          <w:sz w:val="24"/>
          <w:szCs w:val="24"/>
        </w:rPr>
        <w:br w:type="textWrapping" w:clear="left"/>
      </w:r>
      <w:r w:rsidRPr="00746AD9">
        <w:rPr>
          <w:rFonts w:eastAsia="Times New Roman" w:cs="Times New Roman"/>
          <w:b/>
          <w:bCs/>
          <w:color w:val="0000FF"/>
          <w:sz w:val="24"/>
          <w:szCs w:val="24"/>
        </w:rPr>
        <w:t>E</w:t>
      </w:r>
      <w:r w:rsidRPr="00746AD9">
        <w:rPr>
          <w:rFonts w:eastAsia="Times New Roman" w:cs="Times New Roman"/>
          <w:color w:val="0000FF"/>
          <w:sz w:val="24"/>
          <w:szCs w:val="24"/>
        </w:rPr>
        <w:t xml:space="preserve"> </w:t>
      </w:r>
      <w:r w:rsidRPr="00746AD9">
        <w:rPr>
          <w:rFonts w:eastAsia="Times New Roman" w:cs="Times New Roman"/>
          <w:sz w:val="24"/>
          <w:szCs w:val="24"/>
        </w:rPr>
        <w:t xml:space="preserve">xcellence in our programs and services. </w:t>
      </w:r>
      <w:r w:rsidRPr="00746AD9">
        <w:rPr>
          <w:rFonts w:eastAsia="Times New Roman" w:cs="Times New Roman"/>
          <w:b/>
          <w:bCs/>
          <w:sz w:val="24"/>
          <w:szCs w:val="24"/>
        </w:rPr>
        <w:br w:type="textWrapping" w:clear="left"/>
      </w:r>
      <w:r w:rsidRPr="00746AD9">
        <w:rPr>
          <w:rFonts w:eastAsia="Times New Roman" w:cs="Times New Roman"/>
          <w:b/>
          <w:bCs/>
          <w:color w:val="0000FF"/>
          <w:sz w:val="24"/>
          <w:szCs w:val="24"/>
        </w:rPr>
        <w:t xml:space="preserve">A </w:t>
      </w:r>
      <w:r w:rsidRPr="00746AD9">
        <w:rPr>
          <w:rFonts w:eastAsia="Times New Roman" w:cs="Times New Roman"/>
          <w:sz w:val="24"/>
          <w:szCs w:val="24"/>
        </w:rPr>
        <w:t xml:space="preserve">ccessibility for all Alaskans. </w:t>
      </w:r>
      <w:r w:rsidRPr="00746AD9">
        <w:rPr>
          <w:rFonts w:eastAsia="Times New Roman" w:cs="Times New Roman"/>
          <w:b/>
          <w:bCs/>
          <w:sz w:val="24"/>
          <w:szCs w:val="24"/>
        </w:rPr>
        <w:br w:type="textWrapping" w:clear="left"/>
      </w:r>
      <w:r w:rsidRPr="00746AD9">
        <w:rPr>
          <w:rFonts w:eastAsia="Times New Roman" w:cs="Times New Roman"/>
          <w:b/>
          <w:bCs/>
          <w:color w:val="0000FF"/>
          <w:sz w:val="24"/>
          <w:szCs w:val="24"/>
        </w:rPr>
        <w:t>D</w:t>
      </w:r>
      <w:r w:rsidRPr="00746AD9">
        <w:rPr>
          <w:rFonts w:eastAsia="Times New Roman" w:cs="Times New Roman"/>
          <w:color w:val="0000FF"/>
          <w:sz w:val="24"/>
          <w:szCs w:val="24"/>
        </w:rPr>
        <w:t xml:space="preserve"> </w:t>
      </w:r>
      <w:r w:rsidRPr="00746AD9">
        <w:rPr>
          <w:rFonts w:eastAsia="Times New Roman" w:cs="Times New Roman"/>
          <w:sz w:val="24"/>
          <w:szCs w:val="24"/>
        </w:rPr>
        <w:t xml:space="preserve">edication to serving community needs. </w:t>
      </w:r>
      <w:r w:rsidRPr="00746AD9">
        <w:rPr>
          <w:rFonts w:eastAsia="Times New Roman" w:cs="Times New Roman"/>
          <w:b/>
          <w:bCs/>
          <w:sz w:val="24"/>
          <w:szCs w:val="24"/>
        </w:rPr>
        <w:br w:type="textWrapping" w:clear="left"/>
      </w:r>
      <w:r w:rsidRPr="00746AD9">
        <w:rPr>
          <w:rFonts w:eastAsia="Times New Roman" w:cs="Times New Roman"/>
          <w:b/>
          <w:bCs/>
          <w:color w:val="0000FF"/>
          <w:sz w:val="24"/>
          <w:szCs w:val="24"/>
        </w:rPr>
        <w:t>S</w:t>
      </w:r>
      <w:r w:rsidRPr="00746AD9">
        <w:rPr>
          <w:rFonts w:eastAsia="Times New Roman" w:cs="Times New Roman"/>
          <w:color w:val="0000FF"/>
          <w:sz w:val="24"/>
          <w:szCs w:val="24"/>
        </w:rPr>
        <w:t xml:space="preserve"> </w:t>
      </w:r>
      <w:r w:rsidRPr="00746AD9">
        <w:rPr>
          <w:rFonts w:eastAsia="Times New Roman" w:cs="Times New Roman"/>
          <w:sz w:val="24"/>
          <w:szCs w:val="24"/>
        </w:rPr>
        <w:t>tewardship of our resources.</w:t>
      </w:r>
    </w:p>
    <w:p w:rsidR="00601B10" w:rsidRPr="00746AD9" w:rsidRDefault="00601B10" w:rsidP="009474E5">
      <w:pPr>
        <w:spacing w:after="0"/>
        <w:ind w:left="360"/>
        <w:rPr>
          <w:sz w:val="24"/>
          <w:szCs w:val="24"/>
        </w:rPr>
      </w:pPr>
    </w:p>
    <w:p w:rsidR="00B6491D" w:rsidRDefault="00F9141A" w:rsidP="00F40713">
      <w:pPr>
        <w:spacing w:after="0"/>
        <w:ind w:left="360"/>
        <w:rPr>
          <w:sz w:val="24"/>
          <w:szCs w:val="24"/>
        </w:rPr>
      </w:pPr>
      <w:r w:rsidRPr="00746AD9">
        <w:rPr>
          <w:sz w:val="24"/>
          <w:szCs w:val="24"/>
        </w:rPr>
        <w:t>In addition, e</w:t>
      </w:r>
      <w:r w:rsidR="00601B10" w:rsidRPr="00746AD9">
        <w:rPr>
          <w:sz w:val="24"/>
          <w:szCs w:val="24"/>
        </w:rPr>
        <w:t>ach MAU</w:t>
      </w:r>
      <w:r w:rsidR="00570535" w:rsidRPr="00746AD9">
        <w:rPr>
          <w:sz w:val="24"/>
          <w:szCs w:val="24"/>
        </w:rPr>
        <w:t xml:space="preserve"> </w:t>
      </w:r>
      <w:r w:rsidR="0027064D" w:rsidRPr="00746AD9">
        <w:rPr>
          <w:sz w:val="24"/>
          <w:szCs w:val="24"/>
        </w:rPr>
        <w:t>mission statement</w:t>
      </w:r>
      <w:r w:rsidR="00570535" w:rsidRPr="00746AD9">
        <w:rPr>
          <w:sz w:val="24"/>
          <w:szCs w:val="24"/>
        </w:rPr>
        <w:t xml:space="preserve"> </w:t>
      </w:r>
      <w:r w:rsidR="00327D4E" w:rsidRPr="00746AD9">
        <w:rPr>
          <w:rFonts w:eastAsia="Times New Roman" w:cs="Times New Roman"/>
          <w:sz w:val="24"/>
          <w:szCs w:val="24"/>
        </w:rPr>
        <w:t xml:space="preserve">articulates </w:t>
      </w:r>
      <w:r w:rsidR="00601B10" w:rsidRPr="00746AD9">
        <w:rPr>
          <w:rFonts w:eastAsia="Times New Roman" w:cs="Times New Roman"/>
          <w:sz w:val="24"/>
          <w:szCs w:val="24"/>
        </w:rPr>
        <w:t>its</w:t>
      </w:r>
      <w:r w:rsidR="00327D4E" w:rsidRPr="00746AD9">
        <w:rPr>
          <w:rFonts w:eastAsia="Times New Roman" w:cs="Times New Roman"/>
          <w:sz w:val="24"/>
          <w:szCs w:val="24"/>
        </w:rPr>
        <w:t xml:space="preserve"> vision and values</w:t>
      </w:r>
      <w:r w:rsidR="00601B10" w:rsidRPr="00746AD9">
        <w:rPr>
          <w:rFonts w:eastAsia="Times New Roman" w:cs="Times New Roman"/>
          <w:sz w:val="24"/>
          <w:szCs w:val="24"/>
        </w:rPr>
        <w:t xml:space="preserve">.  </w:t>
      </w:r>
      <w:r w:rsidRPr="00746AD9">
        <w:rPr>
          <w:rFonts w:eastAsia="Times New Roman" w:cs="Times New Roman"/>
          <w:sz w:val="24"/>
          <w:szCs w:val="24"/>
        </w:rPr>
        <w:t>These mission statements c</w:t>
      </w:r>
      <w:r w:rsidR="00327D4E" w:rsidRPr="00746AD9">
        <w:rPr>
          <w:rFonts w:eastAsia="Times New Roman" w:cs="Times New Roman"/>
          <w:sz w:val="24"/>
          <w:szCs w:val="24"/>
        </w:rPr>
        <w:t xml:space="preserve">an </w:t>
      </w:r>
      <w:r w:rsidR="00601B10" w:rsidRPr="00746AD9">
        <w:rPr>
          <w:rFonts w:eastAsia="Times New Roman" w:cs="Times New Roman"/>
          <w:sz w:val="24"/>
          <w:szCs w:val="24"/>
        </w:rPr>
        <w:t xml:space="preserve">also </w:t>
      </w:r>
      <w:r w:rsidR="00327D4E" w:rsidRPr="00746AD9">
        <w:rPr>
          <w:rFonts w:eastAsia="Times New Roman" w:cs="Times New Roman"/>
          <w:sz w:val="24"/>
          <w:szCs w:val="24"/>
        </w:rPr>
        <w:t>be effective leadership tool</w:t>
      </w:r>
      <w:r w:rsidRPr="00746AD9">
        <w:rPr>
          <w:rFonts w:eastAsia="Times New Roman" w:cs="Times New Roman"/>
          <w:sz w:val="24"/>
          <w:szCs w:val="24"/>
        </w:rPr>
        <w:t xml:space="preserve">s as well as </w:t>
      </w:r>
      <w:r w:rsidR="00601B10" w:rsidRPr="00746AD9">
        <w:rPr>
          <w:rFonts w:eastAsia="Times New Roman" w:cs="Times New Roman"/>
          <w:sz w:val="24"/>
          <w:szCs w:val="24"/>
        </w:rPr>
        <w:t>a</w:t>
      </w:r>
      <w:r w:rsidR="00327D4E" w:rsidRPr="00746AD9">
        <w:rPr>
          <w:rFonts w:eastAsia="Times New Roman" w:cs="Times New Roman"/>
          <w:sz w:val="24"/>
          <w:szCs w:val="24"/>
        </w:rPr>
        <w:t xml:space="preserve"> compass for </w:t>
      </w:r>
      <w:r w:rsidRPr="00746AD9">
        <w:rPr>
          <w:rFonts w:eastAsia="Times New Roman" w:cs="Times New Roman"/>
          <w:sz w:val="24"/>
          <w:szCs w:val="24"/>
        </w:rPr>
        <w:t xml:space="preserve">strategic planning and </w:t>
      </w:r>
      <w:r w:rsidR="00327D4E" w:rsidRPr="00746AD9">
        <w:rPr>
          <w:rFonts w:eastAsia="Times New Roman" w:cs="Times New Roman"/>
          <w:sz w:val="24"/>
          <w:szCs w:val="24"/>
        </w:rPr>
        <w:t xml:space="preserve">decision-making.  </w:t>
      </w:r>
      <w:r w:rsidRPr="00746AD9">
        <w:rPr>
          <w:sz w:val="24"/>
          <w:szCs w:val="24"/>
        </w:rPr>
        <w:t xml:space="preserve">Following are the </w:t>
      </w:r>
      <w:r w:rsidR="00B6491D" w:rsidRPr="00746AD9">
        <w:rPr>
          <w:sz w:val="24"/>
          <w:szCs w:val="24"/>
        </w:rPr>
        <w:t>University of Alaska Mission Statements</w:t>
      </w:r>
      <w:r w:rsidR="0090052C" w:rsidRPr="00746AD9">
        <w:rPr>
          <w:sz w:val="24"/>
          <w:szCs w:val="24"/>
        </w:rPr>
        <w:t>:</w:t>
      </w:r>
    </w:p>
    <w:p w:rsidR="00F40713" w:rsidRPr="00746AD9" w:rsidRDefault="00F40713" w:rsidP="00F40713">
      <w:pPr>
        <w:spacing w:after="0"/>
        <w:ind w:left="360"/>
        <w:rPr>
          <w:sz w:val="24"/>
          <w:szCs w:val="24"/>
        </w:rPr>
      </w:pPr>
    </w:p>
    <w:p w:rsidR="003007A8" w:rsidRPr="00746AD9" w:rsidRDefault="003007A8" w:rsidP="009474E5">
      <w:pPr>
        <w:tabs>
          <w:tab w:val="right" w:pos="8640"/>
        </w:tabs>
        <w:ind w:left="720"/>
        <w:jc w:val="both"/>
        <w:rPr>
          <w:sz w:val="24"/>
          <w:szCs w:val="24"/>
          <w:u w:val="single"/>
        </w:rPr>
      </w:pPr>
      <w:r w:rsidRPr="00746AD9">
        <w:rPr>
          <w:sz w:val="24"/>
          <w:szCs w:val="24"/>
          <w:u w:val="single"/>
        </w:rPr>
        <w:t>P01.01.010. University of Alaska Mission Statement.</w:t>
      </w:r>
    </w:p>
    <w:p w:rsidR="0027064D" w:rsidRPr="002A2A64" w:rsidRDefault="003007A8" w:rsidP="009474E5">
      <w:pPr>
        <w:ind w:left="720"/>
        <w:rPr>
          <w:sz w:val="18"/>
          <w:szCs w:val="18"/>
        </w:rPr>
      </w:pPr>
      <w:r w:rsidRPr="00746AD9">
        <w:rPr>
          <w:sz w:val="24"/>
          <w:szCs w:val="24"/>
        </w:rPr>
        <w:t xml:space="preserve">The University of Alaska inspires learning, and advances and disseminates knowledge through teaching, research, and public service, emphasizing the North and its diverse peoples. </w:t>
      </w:r>
      <w:r w:rsidRPr="00746AD9">
        <w:rPr>
          <w:sz w:val="24"/>
          <w:szCs w:val="24"/>
        </w:rPr>
        <w:tab/>
      </w:r>
      <w:r w:rsidRPr="002A2A64">
        <w:rPr>
          <w:sz w:val="18"/>
          <w:szCs w:val="18"/>
        </w:rPr>
        <w:t>(10-06-00)</w:t>
      </w:r>
    </w:p>
    <w:p w:rsidR="009E66B4" w:rsidRPr="00746AD9" w:rsidRDefault="009E66B4" w:rsidP="009474E5">
      <w:pPr>
        <w:tabs>
          <w:tab w:val="right" w:pos="8640"/>
        </w:tabs>
        <w:ind w:left="720"/>
        <w:jc w:val="both"/>
        <w:rPr>
          <w:rFonts w:eastAsia="Calibri" w:cs="Times New Roman"/>
          <w:sz w:val="24"/>
          <w:szCs w:val="24"/>
          <w:u w:val="single"/>
        </w:rPr>
      </w:pPr>
      <w:r w:rsidRPr="00746AD9">
        <w:rPr>
          <w:rFonts w:eastAsia="Calibri" w:cs="Times New Roman"/>
          <w:sz w:val="24"/>
          <w:szCs w:val="24"/>
          <w:u w:val="single"/>
        </w:rPr>
        <w:lastRenderedPageBreak/>
        <w:t xml:space="preserve">P01.01.020. University of Alaska Anchorage Mission Statement.  </w:t>
      </w:r>
    </w:p>
    <w:p w:rsidR="009E66B4" w:rsidRPr="00746AD9" w:rsidRDefault="009E66B4" w:rsidP="009474E5">
      <w:pPr>
        <w:ind w:left="720"/>
        <w:jc w:val="both"/>
        <w:rPr>
          <w:rFonts w:eastAsia="Calibri" w:cs="Times New Roman"/>
          <w:sz w:val="24"/>
          <w:szCs w:val="24"/>
        </w:rPr>
      </w:pPr>
      <w:r w:rsidRPr="00746AD9">
        <w:rPr>
          <w:rFonts w:eastAsia="Calibri" w:cs="Times New Roman"/>
          <w:sz w:val="24"/>
          <w:szCs w:val="24"/>
        </w:rPr>
        <w:t>The mission of the University of Alaska Anchorage is to discover and disseminate knowledge through teaching, research, engagement, and creative expression.</w:t>
      </w:r>
    </w:p>
    <w:p w:rsidR="009E66B4" w:rsidRPr="00746AD9" w:rsidRDefault="009E66B4" w:rsidP="009474E5">
      <w:pPr>
        <w:ind w:left="720"/>
        <w:jc w:val="both"/>
        <w:rPr>
          <w:rFonts w:eastAsia="Calibri" w:cs="Times New Roman"/>
          <w:sz w:val="24"/>
          <w:szCs w:val="24"/>
        </w:rPr>
      </w:pPr>
      <w:r w:rsidRPr="00746AD9">
        <w:rPr>
          <w:rFonts w:eastAsia="Calibri" w:cs="Times New Roman"/>
          <w:sz w:val="24"/>
          <w:szCs w:val="24"/>
        </w:rPr>
        <w:t>Located in Anchorage and on community campuses in Southcentral Alaska, UAA is committed to serving the higher education needs of the state, its communities, and its diverse peoples.</w:t>
      </w:r>
    </w:p>
    <w:p w:rsidR="009E66B4" w:rsidRPr="002A2A64" w:rsidRDefault="009E66B4" w:rsidP="009474E5">
      <w:pPr>
        <w:ind w:left="720"/>
        <w:jc w:val="both"/>
        <w:rPr>
          <w:rFonts w:eastAsia="Calibri" w:cs="Times New Roman"/>
          <w:sz w:val="18"/>
          <w:szCs w:val="18"/>
        </w:rPr>
      </w:pPr>
      <w:r w:rsidRPr="00746AD9">
        <w:rPr>
          <w:rFonts w:eastAsia="Calibri" w:cs="Times New Roman"/>
          <w:sz w:val="24"/>
          <w:szCs w:val="24"/>
        </w:rPr>
        <w:t>The University of Alaska Anchorage is an open access university with academic programs leading to occupational endorsements; undergraduate and graduate certificates; and associate, baccalaureate, and graduate degrees in a rich, diverse, and inclusive environment.</w:t>
      </w:r>
      <w:r w:rsidRPr="00746AD9">
        <w:rPr>
          <w:sz w:val="24"/>
          <w:szCs w:val="24"/>
        </w:rPr>
        <w:t xml:space="preserve">  </w:t>
      </w:r>
      <w:r w:rsidRPr="00746AD9">
        <w:rPr>
          <w:rFonts w:eastAsia="Calibri" w:cs="Times New Roman"/>
          <w:sz w:val="24"/>
          <w:szCs w:val="24"/>
        </w:rPr>
        <w:tab/>
      </w:r>
      <w:r w:rsidRPr="002A2A64">
        <w:rPr>
          <w:rFonts w:eastAsia="Calibri" w:cs="Times New Roman"/>
          <w:sz w:val="18"/>
          <w:szCs w:val="18"/>
        </w:rPr>
        <w:t>(09-18-07)</w:t>
      </w:r>
    </w:p>
    <w:p w:rsidR="009E66B4" w:rsidRPr="00746AD9" w:rsidRDefault="009E66B4" w:rsidP="009474E5">
      <w:pPr>
        <w:tabs>
          <w:tab w:val="right" w:pos="8640"/>
        </w:tabs>
        <w:ind w:left="720"/>
        <w:jc w:val="both"/>
        <w:rPr>
          <w:rFonts w:eastAsia="Calibri" w:cs="Times New Roman"/>
          <w:sz w:val="24"/>
          <w:szCs w:val="24"/>
          <w:u w:val="single"/>
        </w:rPr>
      </w:pPr>
      <w:r w:rsidRPr="00746AD9">
        <w:rPr>
          <w:rFonts w:eastAsia="Calibri" w:cs="Times New Roman"/>
          <w:sz w:val="24"/>
          <w:szCs w:val="24"/>
          <w:u w:val="single"/>
        </w:rPr>
        <w:t xml:space="preserve">P01.01.030. University of Alaska Fairbanks Mission Statement. </w:t>
      </w:r>
    </w:p>
    <w:p w:rsidR="009E66B4" w:rsidRPr="00746AD9" w:rsidRDefault="009E66B4" w:rsidP="009474E5">
      <w:pPr>
        <w:tabs>
          <w:tab w:val="right" w:pos="8640"/>
        </w:tabs>
        <w:ind w:left="720"/>
        <w:jc w:val="both"/>
        <w:rPr>
          <w:rFonts w:eastAsia="Calibri" w:cs="Times New Roman"/>
          <w:i/>
          <w:iCs/>
          <w:sz w:val="24"/>
          <w:szCs w:val="24"/>
        </w:rPr>
      </w:pPr>
      <w:r w:rsidRPr="00746AD9">
        <w:rPr>
          <w:rFonts w:eastAsia="Calibri" w:cs="Times New Roman"/>
          <w:sz w:val="24"/>
          <w:szCs w:val="24"/>
        </w:rPr>
        <w:t xml:space="preserve">The University of Alaska Fairbanks, the nation’s northernmost Land, Sea and Space Grant university and international research center, advances and disseminates knowledge through teaching, research and public service with an emphasis on Alaska, the circumpolar North and their diverse peoples.  UAF – America’s Arctic University – promotes academic excellence, student success and lifelong learning. </w:t>
      </w:r>
      <w:r w:rsidR="002A2A64">
        <w:rPr>
          <w:rFonts w:eastAsia="Calibri" w:cs="Times New Roman"/>
          <w:sz w:val="24"/>
          <w:szCs w:val="24"/>
        </w:rPr>
        <w:t xml:space="preserve">    </w:t>
      </w:r>
      <w:r w:rsidRPr="002A2A64">
        <w:rPr>
          <w:rFonts w:eastAsia="Calibri" w:cs="Times New Roman"/>
          <w:sz w:val="18"/>
          <w:szCs w:val="18"/>
        </w:rPr>
        <w:t>(06-08-06)</w:t>
      </w:r>
    </w:p>
    <w:p w:rsidR="009E66B4" w:rsidRPr="00746AD9" w:rsidRDefault="009E66B4" w:rsidP="009474E5">
      <w:pPr>
        <w:tabs>
          <w:tab w:val="right" w:pos="8640"/>
        </w:tabs>
        <w:ind w:left="720"/>
        <w:jc w:val="both"/>
        <w:rPr>
          <w:rFonts w:eastAsia="Calibri" w:cs="Times New Roman"/>
          <w:sz w:val="24"/>
          <w:szCs w:val="24"/>
          <w:u w:val="single"/>
        </w:rPr>
      </w:pPr>
      <w:r w:rsidRPr="00746AD9">
        <w:rPr>
          <w:rFonts w:eastAsia="Calibri" w:cs="Times New Roman"/>
          <w:sz w:val="24"/>
          <w:szCs w:val="24"/>
          <w:u w:val="single"/>
        </w:rPr>
        <w:t xml:space="preserve">P01.01.040. University of Alaska Southeast Mission Statement. </w:t>
      </w:r>
    </w:p>
    <w:p w:rsidR="00CD3C75" w:rsidRPr="00746AD9" w:rsidRDefault="009E66B4" w:rsidP="009474E5">
      <w:pPr>
        <w:tabs>
          <w:tab w:val="right" w:pos="8640"/>
        </w:tabs>
        <w:ind w:left="720"/>
        <w:jc w:val="both"/>
        <w:rPr>
          <w:rFonts w:eastAsia="Calibri" w:cs="Times New Roman"/>
          <w:sz w:val="24"/>
          <w:szCs w:val="24"/>
        </w:rPr>
      </w:pPr>
      <w:r w:rsidRPr="00746AD9">
        <w:rPr>
          <w:rFonts w:eastAsia="Calibri" w:cs="Times New Roman"/>
          <w:sz w:val="24"/>
          <w:szCs w:val="24"/>
        </w:rPr>
        <w:t>The University of Alaska Southeast is an open enrollment, public university that provides postsecondary education for a diverse student body. UAS promotes student achievement and faculty scholarship, lifelong learning opportunities, and quality academic programs.</w:t>
      </w:r>
      <w:r w:rsidRPr="00746AD9">
        <w:rPr>
          <w:sz w:val="24"/>
          <w:szCs w:val="24"/>
        </w:rPr>
        <w:t xml:space="preserve">  </w:t>
      </w:r>
      <w:r w:rsidRPr="002A2A64">
        <w:rPr>
          <w:rFonts w:eastAsia="Calibri" w:cs="Times New Roman"/>
          <w:sz w:val="18"/>
          <w:szCs w:val="18"/>
        </w:rPr>
        <w:t>(03-09-01)</w:t>
      </w:r>
      <w:r w:rsidRPr="00746AD9">
        <w:rPr>
          <w:rFonts w:eastAsia="Calibri" w:cs="Times New Roman"/>
          <w:sz w:val="24"/>
          <w:szCs w:val="24"/>
        </w:rPr>
        <w:t xml:space="preserve"> </w:t>
      </w:r>
    </w:p>
    <w:p w:rsidR="009E66B4" w:rsidRPr="00746AD9" w:rsidRDefault="00CD3C75" w:rsidP="009474E5">
      <w:pPr>
        <w:tabs>
          <w:tab w:val="right" w:pos="8640"/>
        </w:tabs>
        <w:ind w:left="360"/>
        <w:jc w:val="both"/>
        <w:rPr>
          <w:rFonts w:eastAsia="Calibri" w:cs="Times New Roman"/>
          <w:i/>
          <w:iCs/>
          <w:sz w:val="24"/>
          <w:szCs w:val="24"/>
        </w:rPr>
      </w:pPr>
      <w:r w:rsidRPr="00746AD9">
        <w:rPr>
          <w:sz w:val="24"/>
          <w:szCs w:val="24"/>
        </w:rPr>
        <w:t>The most efficient and thorough method to accomplish organizational vision, values, goals, and objectives is by assessing and managing risks through the establishment and maintenance of effective internal controls.  This is a fluid process due to the ever-changing nature of risk.</w:t>
      </w:r>
    </w:p>
    <w:p w:rsidR="0027064D" w:rsidRPr="00746AD9" w:rsidRDefault="009B3257" w:rsidP="009474E5">
      <w:pPr>
        <w:pStyle w:val="ListParagraph"/>
        <w:numPr>
          <w:ilvl w:val="0"/>
          <w:numId w:val="9"/>
        </w:numPr>
        <w:rPr>
          <w:b/>
          <w:sz w:val="24"/>
          <w:szCs w:val="24"/>
          <w:u w:val="single"/>
        </w:rPr>
      </w:pPr>
      <w:r w:rsidRPr="00746AD9">
        <w:rPr>
          <w:b/>
          <w:sz w:val="24"/>
          <w:szCs w:val="24"/>
          <w:u w:val="single"/>
        </w:rPr>
        <w:t>R</w:t>
      </w:r>
      <w:r w:rsidR="0027064D" w:rsidRPr="00746AD9">
        <w:rPr>
          <w:b/>
          <w:sz w:val="24"/>
          <w:szCs w:val="24"/>
          <w:u w:val="single"/>
        </w:rPr>
        <w:t>esponsib</w:t>
      </w:r>
      <w:r w:rsidRPr="00746AD9">
        <w:rPr>
          <w:b/>
          <w:sz w:val="24"/>
          <w:szCs w:val="24"/>
          <w:u w:val="single"/>
        </w:rPr>
        <w:t>ility</w:t>
      </w:r>
      <w:r w:rsidR="0027064D" w:rsidRPr="00746AD9">
        <w:rPr>
          <w:b/>
          <w:sz w:val="24"/>
          <w:szCs w:val="24"/>
          <w:u w:val="single"/>
        </w:rPr>
        <w:t xml:space="preserve"> for Risk Management and Internal Control</w:t>
      </w:r>
    </w:p>
    <w:p w:rsidR="0027064D" w:rsidRPr="00746AD9" w:rsidRDefault="0027064D" w:rsidP="009474E5">
      <w:pPr>
        <w:ind w:left="360"/>
        <w:rPr>
          <w:sz w:val="24"/>
          <w:szCs w:val="24"/>
        </w:rPr>
      </w:pPr>
      <w:r w:rsidRPr="00746AD9">
        <w:rPr>
          <w:sz w:val="24"/>
          <w:szCs w:val="24"/>
        </w:rPr>
        <w:t>An increased emphasis has been placed upon the role and responsibility of senior management to control the operations of an enterprise, whether it is a publicly-held corporation or a higher education institution.  Internal controls are developed for the purpose of enabling management to achieve the goals and objectives set forth in the organization’s mission statement.  They are the product of risk assessment and are utilized to help manage the institution’s risk.</w:t>
      </w:r>
    </w:p>
    <w:p w:rsidR="00E858DC" w:rsidRPr="00746AD9" w:rsidRDefault="00E858DC" w:rsidP="009474E5">
      <w:pPr>
        <w:widowControl w:val="0"/>
        <w:ind w:left="360"/>
        <w:rPr>
          <w:rFonts w:eastAsia="Calibri" w:cs="Times New Roman"/>
          <w:sz w:val="24"/>
          <w:szCs w:val="24"/>
        </w:rPr>
      </w:pPr>
      <w:r w:rsidRPr="00746AD9">
        <w:rPr>
          <w:sz w:val="24"/>
          <w:szCs w:val="24"/>
        </w:rPr>
        <w:lastRenderedPageBreak/>
        <w:t xml:space="preserve">To assist senior management with internal controls, the System office of Risk Services and the Department of Internal Audit are charged, through Board of Regents Policy (05.09 and 05.03) </w:t>
      </w:r>
      <w:r w:rsidRPr="00746AD9">
        <w:rPr>
          <w:rFonts w:eastAsia="Calibri" w:cs="Times New Roman"/>
          <w:sz w:val="24"/>
          <w:szCs w:val="24"/>
        </w:rPr>
        <w:t xml:space="preserve">as follows:  </w:t>
      </w:r>
    </w:p>
    <w:p w:rsidR="00AD7BDA" w:rsidRPr="00746AD9" w:rsidRDefault="00E858DC" w:rsidP="009474E5">
      <w:pPr>
        <w:widowControl w:val="0"/>
        <w:ind w:left="720"/>
        <w:rPr>
          <w:rFonts w:eastAsia="Calibri" w:cs="Times New Roman"/>
          <w:sz w:val="24"/>
          <w:szCs w:val="24"/>
        </w:rPr>
      </w:pPr>
      <w:r w:rsidRPr="00746AD9">
        <w:rPr>
          <w:rFonts w:eastAsia="Calibri" w:cs="Times New Roman"/>
          <w:sz w:val="24"/>
          <w:szCs w:val="24"/>
        </w:rPr>
        <w:t xml:space="preserve">“The risk management and environmental health and safety program </w:t>
      </w:r>
      <w:r w:rsidR="00AD7BDA" w:rsidRPr="00746AD9">
        <w:rPr>
          <w:rFonts w:eastAsia="Calibri" w:cs="Times New Roman"/>
          <w:sz w:val="24"/>
          <w:szCs w:val="24"/>
        </w:rPr>
        <w:t>will be established and maintained under an enterprise-wide philosophy, whereby safety and risk control are incorporated into all facets of the organization and its programs; i.e. Enterprise Risk Management. The president is charged with the responsibility to provide for and require sound and proactive business, operations, and program practices in order to safeguard human, property, financial, and other resources of the university.  The goal of the RM/EHS program will be to facilitate the accomplishment of the university’s primary missions of instruction, research, and public service at a reasonable cost with minimal disruptions and adverse events.</w:t>
      </w:r>
      <w:r w:rsidR="00AD7BDA" w:rsidRPr="00746AD9">
        <w:rPr>
          <w:sz w:val="24"/>
          <w:szCs w:val="24"/>
        </w:rPr>
        <w:t xml:space="preserve">”  </w:t>
      </w:r>
    </w:p>
    <w:p w:rsidR="00AD7BDA" w:rsidRPr="00746AD9" w:rsidRDefault="00E858DC" w:rsidP="009474E5">
      <w:pPr>
        <w:ind w:left="720"/>
        <w:jc w:val="both"/>
        <w:rPr>
          <w:rFonts w:eastAsia="Calibri" w:cs="Times New Roman"/>
          <w:sz w:val="24"/>
          <w:szCs w:val="24"/>
        </w:rPr>
      </w:pPr>
      <w:r w:rsidRPr="00746AD9">
        <w:rPr>
          <w:sz w:val="24"/>
          <w:szCs w:val="24"/>
        </w:rPr>
        <w:t>“</w:t>
      </w:r>
      <w:r w:rsidR="00AD7BDA" w:rsidRPr="00746AD9">
        <w:rPr>
          <w:rFonts w:eastAsia="Calibri" w:cs="Times New Roman"/>
          <w:sz w:val="24"/>
          <w:szCs w:val="24"/>
        </w:rPr>
        <w:t>Internal auditing is an independent appraisal activity established within the university to examine and evaluate its activities to meet the needs of the board and executive management.  Internal audits may include financial, performance, operational and compliance audits.  The mission of the internal audit department is to assist the board and management in the effective discharge of their fiduciary and administrative responsibilities by providing analysis, appraisals, counsel, information and recommendations concerning activities reviewed and by promoting effective controls for the recording and reporting of operational activities and for the custody and safeguarding of assets.</w:t>
      </w:r>
      <w:r w:rsidRPr="00746AD9">
        <w:rPr>
          <w:sz w:val="24"/>
          <w:szCs w:val="24"/>
        </w:rPr>
        <w:t>”</w:t>
      </w:r>
    </w:p>
    <w:p w:rsidR="00003F24" w:rsidRPr="00746AD9" w:rsidRDefault="00506492" w:rsidP="009474E5">
      <w:pPr>
        <w:ind w:left="360"/>
        <w:rPr>
          <w:sz w:val="24"/>
          <w:szCs w:val="24"/>
        </w:rPr>
      </w:pPr>
      <w:r w:rsidRPr="00746AD9">
        <w:rPr>
          <w:b/>
          <w:sz w:val="24"/>
          <w:szCs w:val="24"/>
        </w:rPr>
        <w:t xml:space="preserve">Risk management roles </w:t>
      </w:r>
      <w:r w:rsidR="00003F24" w:rsidRPr="00746AD9">
        <w:rPr>
          <w:b/>
          <w:sz w:val="24"/>
          <w:szCs w:val="24"/>
        </w:rPr>
        <w:t>and responsibilities</w:t>
      </w:r>
      <w:r w:rsidR="00003F24" w:rsidRPr="00746AD9">
        <w:rPr>
          <w:sz w:val="24"/>
          <w:szCs w:val="24"/>
        </w:rPr>
        <w:t xml:space="preserve"> –</w:t>
      </w:r>
      <w:r w:rsidR="0020088E" w:rsidRPr="00746AD9">
        <w:rPr>
          <w:sz w:val="24"/>
          <w:szCs w:val="24"/>
        </w:rPr>
        <w:t xml:space="preserve"> Everyone in</w:t>
      </w:r>
      <w:r w:rsidR="00003F24" w:rsidRPr="00746AD9">
        <w:rPr>
          <w:sz w:val="24"/>
          <w:szCs w:val="24"/>
        </w:rPr>
        <w:t xml:space="preserve"> an entity </w:t>
      </w:r>
      <w:r w:rsidR="002A47BA" w:rsidRPr="00746AD9">
        <w:rPr>
          <w:sz w:val="24"/>
          <w:szCs w:val="24"/>
        </w:rPr>
        <w:t>holds</w:t>
      </w:r>
      <w:r w:rsidR="00003F24" w:rsidRPr="00746AD9">
        <w:rPr>
          <w:sz w:val="24"/>
          <w:szCs w:val="24"/>
        </w:rPr>
        <w:t xml:space="preserve"> </w:t>
      </w:r>
      <w:r w:rsidR="0017181B" w:rsidRPr="00746AD9">
        <w:rPr>
          <w:sz w:val="24"/>
          <w:szCs w:val="24"/>
        </w:rPr>
        <w:t xml:space="preserve">some level of </w:t>
      </w:r>
      <w:r w:rsidR="00003F24" w:rsidRPr="00746AD9">
        <w:rPr>
          <w:sz w:val="24"/>
          <w:szCs w:val="24"/>
        </w:rPr>
        <w:t xml:space="preserve">responsibility for enterprise risk </w:t>
      </w:r>
      <w:r w:rsidRPr="00746AD9">
        <w:rPr>
          <w:sz w:val="24"/>
          <w:szCs w:val="24"/>
        </w:rPr>
        <w:t xml:space="preserve">management. </w:t>
      </w:r>
      <w:r w:rsidR="0052650E" w:rsidRPr="00746AD9">
        <w:rPr>
          <w:sz w:val="24"/>
          <w:szCs w:val="24"/>
        </w:rPr>
        <w:t xml:space="preserve"> </w:t>
      </w:r>
      <w:r w:rsidR="0017181B" w:rsidRPr="00746AD9">
        <w:rPr>
          <w:sz w:val="24"/>
          <w:szCs w:val="24"/>
        </w:rPr>
        <w:t xml:space="preserve">Some key roles are listed below.  </w:t>
      </w:r>
      <w:r w:rsidR="0052650E" w:rsidRPr="00746AD9">
        <w:rPr>
          <w:sz w:val="24"/>
          <w:szCs w:val="24"/>
        </w:rPr>
        <w:t>(</w:t>
      </w:r>
      <w:r w:rsidR="0017181B" w:rsidRPr="00746AD9">
        <w:rPr>
          <w:sz w:val="24"/>
          <w:szCs w:val="24"/>
        </w:rPr>
        <w:t>The l</w:t>
      </w:r>
      <w:r w:rsidR="0052650E" w:rsidRPr="00746AD9">
        <w:rPr>
          <w:sz w:val="24"/>
          <w:szCs w:val="24"/>
        </w:rPr>
        <w:t xml:space="preserve">ist </w:t>
      </w:r>
      <w:r w:rsidR="0017181B" w:rsidRPr="00746AD9">
        <w:rPr>
          <w:sz w:val="24"/>
          <w:szCs w:val="24"/>
        </w:rPr>
        <w:t xml:space="preserve">below </w:t>
      </w:r>
      <w:r w:rsidR="0052650E" w:rsidRPr="00746AD9">
        <w:rPr>
          <w:sz w:val="24"/>
          <w:szCs w:val="24"/>
        </w:rPr>
        <w:t>is from Austin Community College District – 2008</w:t>
      </w:r>
      <w:r w:rsidR="00536B1C" w:rsidRPr="00746AD9">
        <w:rPr>
          <w:rStyle w:val="EndnoteReference"/>
          <w:sz w:val="24"/>
          <w:szCs w:val="24"/>
        </w:rPr>
        <w:endnoteReference w:id="1"/>
      </w:r>
      <w:r w:rsidR="0052650E" w:rsidRPr="00746AD9">
        <w:rPr>
          <w:sz w:val="24"/>
          <w:szCs w:val="24"/>
        </w:rPr>
        <w:t>)</w:t>
      </w:r>
    </w:p>
    <w:p w:rsidR="00506492" w:rsidRPr="00746AD9" w:rsidRDefault="00506492" w:rsidP="009474E5">
      <w:pPr>
        <w:spacing w:after="0"/>
        <w:ind w:left="720"/>
        <w:rPr>
          <w:b/>
          <w:sz w:val="24"/>
          <w:szCs w:val="24"/>
        </w:rPr>
      </w:pPr>
      <w:r w:rsidRPr="00746AD9">
        <w:rPr>
          <w:b/>
          <w:sz w:val="24"/>
          <w:szCs w:val="24"/>
        </w:rPr>
        <w:t>Board of Regents</w:t>
      </w:r>
    </w:p>
    <w:p w:rsidR="00506492" w:rsidRPr="00746AD9" w:rsidRDefault="001827CD" w:rsidP="009474E5">
      <w:pPr>
        <w:spacing w:after="0"/>
        <w:ind w:left="1080"/>
        <w:rPr>
          <w:sz w:val="24"/>
          <w:szCs w:val="24"/>
        </w:rPr>
      </w:pPr>
      <w:r w:rsidRPr="00746AD9">
        <w:rPr>
          <w:sz w:val="24"/>
          <w:szCs w:val="24"/>
        </w:rPr>
        <w:t>Support</w:t>
      </w:r>
      <w:r w:rsidR="00506492" w:rsidRPr="00746AD9">
        <w:rPr>
          <w:sz w:val="24"/>
          <w:szCs w:val="24"/>
        </w:rPr>
        <w:t xml:space="preserve"> the design and operation of risk management</w:t>
      </w:r>
    </w:p>
    <w:p w:rsidR="00506492" w:rsidRPr="00746AD9" w:rsidRDefault="001827CD" w:rsidP="009474E5">
      <w:pPr>
        <w:spacing w:after="0"/>
        <w:ind w:left="1080"/>
        <w:rPr>
          <w:sz w:val="24"/>
          <w:szCs w:val="24"/>
        </w:rPr>
      </w:pPr>
      <w:r w:rsidRPr="00746AD9">
        <w:rPr>
          <w:sz w:val="24"/>
          <w:szCs w:val="24"/>
        </w:rPr>
        <w:t>Understand</w:t>
      </w:r>
      <w:r w:rsidR="00506492" w:rsidRPr="00746AD9">
        <w:rPr>
          <w:sz w:val="24"/>
          <w:szCs w:val="24"/>
        </w:rPr>
        <w:t xml:space="preserve"> key objectives and related risks</w:t>
      </w:r>
    </w:p>
    <w:p w:rsidR="00506492" w:rsidRPr="00746AD9" w:rsidRDefault="001827CD" w:rsidP="009474E5">
      <w:pPr>
        <w:spacing w:after="0"/>
        <w:ind w:left="1080"/>
        <w:rPr>
          <w:sz w:val="24"/>
          <w:szCs w:val="24"/>
        </w:rPr>
      </w:pPr>
      <w:r w:rsidRPr="00746AD9">
        <w:rPr>
          <w:sz w:val="24"/>
          <w:szCs w:val="24"/>
        </w:rPr>
        <w:t>Monitor</w:t>
      </w:r>
      <w:r w:rsidR="00506492" w:rsidRPr="00746AD9">
        <w:rPr>
          <w:sz w:val="24"/>
          <w:szCs w:val="24"/>
        </w:rPr>
        <w:t xml:space="preserve"> the process</w:t>
      </w:r>
    </w:p>
    <w:p w:rsidR="00506492" w:rsidRPr="00746AD9" w:rsidRDefault="00506492" w:rsidP="009474E5">
      <w:pPr>
        <w:spacing w:after="0"/>
        <w:ind w:left="1080"/>
        <w:rPr>
          <w:sz w:val="24"/>
          <w:szCs w:val="24"/>
        </w:rPr>
      </w:pPr>
      <w:r w:rsidRPr="00746AD9">
        <w:rPr>
          <w:sz w:val="24"/>
          <w:szCs w:val="24"/>
        </w:rPr>
        <w:t>Provide oversight for risk management activities</w:t>
      </w:r>
    </w:p>
    <w:p w:rsidR="00506492" w:rsidRPr="00746AD9" w:rsidRDefault="00506492" w:rsidP="009474E5">
      <w:pPr>
        <w:spacing w:after="0"/>
        <w:ind w:left="720"/>
        <w:rPr>
          <w:b/>
          <w:sz w:val="24"/>
          <w:szCs w:val="24"/>
        </w:rPr>
      </w:pPr>
      <w:r w:rsidRPr="00746AD9">
        <w:rPr>
          <w:b/>
          <w:sz w:val="24"/>
          <w:szCs w:val="24"/>
        </w:rPr>
        <w:t>President</w:t>
      </w:r>
    </w:p>
    <w:p w:rsidR="00506492" w:rsidRPr="00746AD9" w:rsidRDefault="001827CD" w:rsidP="009474E5">
      <w:pPr>
        <w:spacing w:after="0"/>
        <w:ind w:left="1080"/>
        <w:rPr>
          <w:sz w:val="24"/>
          <w:szCs w:val="24"/>
        </w:rPr>
      </w:pPr>
      <w:r w:rsidRPr="00746AD9">
        <w:rPr>
          <w:sz w:val="24"/>
          <w:szCs w:val="24"/>
        </w:rPr>
        <w:t>Endorse</w:t>
      </w:r>
      <w:r w:rsidR="00506492" w:rsidRPr="00746AD9">
        <w:rPr>
          <w:sz w:val="24"/>
          <w:szCs w:val="24"/>
        </w:rPr>
        <w:t xml:space="preserve"> risk management objectives and its implementation</w:t>
      </w:r>
    </w:p>
    <w:p w:rsidR="00506492" w:rsidRPr="00746AD9" w:rsidRDefault="00506492" w:rsidP="009474E5">
      <w:pPr>
        <w:spacing w:after="0"/>
        <w:ind w:left="1080"/>
        <w:rPr>
          <w:sz w:val="24"/>
          <w:szCs w:val="24"/>
        </w:rPr>
      </w:pPr>
      <w:r w:rsidRPr="00746AD9">
        <w:rPr>
          <w:sz w:val="24"/>
          <w:szCs w:val="24"/>
        </w:rPr>
        <w:t>Support risk management leaders in their roles</w:t>
      </w:r>
    </w:p>
    <w:p w:rsidR="00506492" w:rsidRPr="00746AD9" w:rsidRDefault="00506492" w:rsidP="009474E5">
      <w:pPr>
        <w:spacing w:after="0"/>
        <w:ind w:left="1080"/>
        <w:rPr>
          <w:sz w:val="24"/>
          <w:szCs w:val="24"/>
        </w:rPr>
      </w:pPr>
      <w:r w:rsidRPr="00746AD9">
        <w:rPr>
          <w:sz w:val="24"/>
          <w:szCs w:val="24"/>
        </w:rPr>
        <w:t>Communicat</w:t>
      </w:r>
      <w:r w:rsidR="001827CD" w:rsidRPr="00746AD9">
        <w:rPr>
          <w:sz w:val="24"/>
          <w:szCs w:val="24"/>
        </w:rPr>
        <w:t>e</w:t>
      </w:r>
      <w:r w:rsidRPr="00746AD9">
        <w:rPr>
          <w:sz w:val="24"/>
          <w:szCs w:val="24"/>
        </w:rPr>
        <w:t xml:space="preserve"> the value of risk management processes to the entity’s community</w:t>
      </w:r>
    </w:p>
    <w:p w:rsidR="0016531E" w:rsidRPr="00746AD9" w:rsidRDefault="00506492" w:rsidP="009474E5">
      <w:pPr>
        <w:spacing w:after="0"/>
        <w:ind w:left="720"/>
        <w:rPr>
          <w:b/>
          <w:sz w:val="24"/>
          <w:szCs w:val="24"/>
        </w:rPr>
      </w:pPr>
      <w:r w:rsidRPr="00746AD9">
        <w:rPr>
          <w:b/>
          <w:sz w:val="24"/>
          <w:szCs w:val="24"/>
        </w:rPr>
        <w:lastRenderedPageBreak/>
        <w:t>Officers</w:t>
      </w:r>
    </w:p>
    <w:p w:rsidR="0016531E" w:rsidRPr="00746AD9" w:rsidRDefault="00DB61CF" w:rsidP="009474E5">
      <w:pPr>
        <w:spacing w:after="0"/>
        <w:ind w:left="1080"/>
        <w:rPr>
          <w:sz w:val="24"/>
          <w:szCs w:val="24"/>
        </w:rPr>
      </w:pPr>
      <w:r w:rsidRPr="00746AD9">
        <w:rPr>
          <w:sz w:val="24"/>
          <w:szCs w:val="24"/>
        </w:rPr>
        <w:t>Design</w:t>
      </w:r>
      <w:r w:rsidR="00506492" w:rsidRPr="00746AD9">
        <w:rPr>
          <w:sz w:val="24"/>
          <w:szCs w:val="24"/>
        </w:rPr>
        <w:t xml:space="preserve"> the framework</w:t>
      </w:r>
    </w:p>
    <w:p w:rsidR="0016531E" w:rsidRPr="00746AD9" w:rsidRDefault="00506492" w:rsidP="009474E5">
      <w:pPr>
        <w:spacing w:after="0"/>
        <w:ind w:left="1080"/>
        <w:rPr>
          <w:sz w:val="24"/>
          <w:szCs w:val="24"/>
        </w:rPr>
      </w:pPr>
      <w:r w:rsidRPr="00746AD9">
        <w:rPr>
          <w:sz w:val="24"/>
          <w:szCs w:val="24"/>
        </w:rPr>
        <w:t>Assess the entity’s risk management capabilities</w:t>
      </w:r>
    </w:p>
    <w:p w:rsidR="00506492" w:rsidRPr="00746AD9" w:rsidRDefault="00506492" w:rsidP="009474E5">
      <w:pPr>
        <w:spacing w:after="0"/>
        <w:ind w:left="1080"/>
        <w:rPr>
          <w:sz w:val="24"/>
          <w:szCs w:val="24"/>
        </w:rPr>
      </w:pPr>
      <w:r w:rsidRPr="00746AD9">
        <w:rPr>
          <w:sz w:val="24"/>
          <w:szCs w:val="24"/>
        </w:rPr>
        <w:t>Consider how the officers conduct business in light of the framework component</w:t>
      </w:r>
    </w:p>
    <w:p w:rsidR="0016531E" w:rsidRPr="00746AD9" w:rsidRDefault="00DB61CF" w:rsidP="009474E5">
      <w:pPr>
        <w:spacing w:after="0"/>
        <w:ind w:left="1080"/>
        <w:rPr>
          <w:b/>
          <w:sz w:val="24"/>
          <w:szCs w:val="24"/>
        </w:rPr>
      </w:pPr>
      <w:r w:rsidRPr="00746AD9">
        <w:rPr>
          <w:sz w:val="24"/>
          <w:szCs w:val="24"/>
        </w:rPr>
        <w:t>Identify</w:t>
      </w:r>
      <w:r w:rsidR="00506492" w:rsidRPr="00746AD9">
        <w:rPr>
          <w:sz w:val="24"/>
          <w:szCs w:val="24"/>
        </w:rPr>
        <w:t xml:space="preserve"> risks in areas under their responsibility</w:t>
      </w:r>
    </w:p>
    <w:p w:rsidR="0016531E" w:rsidRPr="00746AD9" w:rsidRDefault="00506492" w:rsidP="009474E5">
      <w:pPr>
        <w:spacing w:after="0"/>
        <w:ind w:left="720"/>
        <w:rPr>
          <w:sz w:val="24"/>
          <w:szCs w:val="24"/>
        </w:rPr>
      </w:pPr>
      <w:r w:rsidRPr="00746AD9">
        <w:rPr>
          <w:b/>
          <w:sz w:val="24"/>
          <w:szCs w:val="24"/>
        </w:rPr>
        <w:t>Internal Auditor</w:t>
      </w:r>
    </w:p>
    <w:p w:rsidR="00506492" w:rsidRPr="00746AD9" w:rsidRDefault="000448C3" w:rsidP="009474E5">
      <w:pPr>
        <w:spacing w:after="0"/>
        <w:ind w:left="1080"/>
        <w:rPr>
          <w:sz w:val="24"/>
          <w:szCs w:val="24"/>
        </w:rPr>
      </w:pPr>
      <w:r w:rsidRPr="00746AD9">
        <w:rPr>
          <w:sz w:val="24"/>
          <w:szCs w:val="24"/>
        </w:rPr>
        <w:t>Work</w:t>
      </w:r>
      <w:r w:rsidR="00506492" w:rsidRPr="00746AD9">
        <w:rPr>
          <w:sz w:val="24"/>
          <w:szCs w:val="24"/>
        </w:rPr>
        <w:t xml:space="preserve"> with management to design the framework</w:t>
      </w:r>
    </w:p>
    <w:p w:rsidR="00506492" w:rsidRPr="00746AD9" w:rsidRDefault="00506492" w:rsidP="009474E5">
      <w:pPr>
        <w:spacing w:after="0"/>
        <w:ind w:left="1080"/>
        <w:rPr>
          <w:sz w:val="24"/>
          <w:szCs w:val="24"/>
        </w:rPr>
      </w:pPr>
      <w:r w:rsidRPr="00746AD9">
        <w:rPr>
          <w:sz w:val="24"/>
          <w:szCs w:val="24"/>
        </w:rPr>
        <w:t>Offer ideas and suggestions</w:t>
      </w:r>
    </w:p>
    <w:p w:rsidR="00506492" w:rsidRPr="00746AD9" w:rsidRDefault="00506492" w:rsidP="009474E5">
      <w:pPr>
        <w:spacing w:after="0"/>
        <w:ind w:left="1080"/>
        <w:rPr>
          <w:sz w:val="24"/>
          <w:szCs w:val="24"/>
        </w:rPr>
      </w:pPr>
      <w:r w:rsidRPr="00746AD9">
        <w:rPr>
          <w:sz w:val="24"/>
          <w:szCs w:val="24"/>
        </w:rPr>
        <w:t>Educat</w:t>
      </w:r>
      <w:r w:rsidR="000448C3" w:rsidRPr="00746AD9">
        <w:rPr>
          <w:sz w:val="24"/>
          <w:szCs w:val="24"/>
        </w:rPr>
        <w:t>e</w:t>
      </w:r>
      <w:r w:rsidRPr="00746AD9">
        <w:rPr>
          <w:sz w:val="24"/>
          <w:szCs w:val="24"/>
        </w:rPr>
        <w:t xml:space="preserve"> the entity about risk and facilitate discussions</w:t>
      </w:r>
    </w:p>
    <w:p w:rsidR="00506492" w:rsidRPr="00746AD9" w:rsidRDefault="000448C3" w:rsidP="009474E5">
      <w:pPr>
        <w:spacing w:after="0"/>
        <w:ind w:left="1080"/>
        <w:rPr>
          <w:sz w:val="24"/>
          <w:szCs w:val="24"/>
        </w:rPr>
      </w:pPr>
      <w:r w:rsidRPr="00746AD9">
        <w:rPr>
          <w:sz w:val="24"/>
          <w:szCs w:val="24"/>
        </w:rPr>
        <w:t>Provide</w:t>
      </w:r>
      <w:r w:rsidR="00506492" w:rsidRPr="00746AD9">
        <w:rPr>
          <w:sz w:val="24"/>
          <w:szCs w:val="24"/>
        </w:rPr>
        <w:t xml:space="preserve"> periodic monitoring of the process and its outcomes</w:t>
      </w:r>
    </w:p>
    <w:p w:rsidR="00506492" w:rsidRPr="00746AD9" w:rsidRDefault="00506492" w:rsidP="009474E5">
      <w:pPr>
        <w:spacing w:after="0"/>
        <w:ind w:left="720"/>
        <w:rPr>
          <w:b/>
          <w:sz w:val="24"/>
          <w:szCs w:val="24"/>
        </w:rPr>
      </w:pPr>
      <w:r w:rsidRPr="00746AD9">
        <w:rPr>
          <w:b/>
          <w:sz w:val="24"/>
          <w:szCs w:val="24"/>
        </w:rPr>
        <w:t>Functional leaders</w:t>
      </w:r>
    </w:p>
    <w:p w:rsidR="00506492" w:rsidRPr="00746AD9" w:rsidRDefault="000448C3" w:rsidP="009474E5">
      <w:pPr>
        <w:spacing w:after="0"/>
        <w:ind w:left="1080"/>
        <w:rPr>
          <w:sz w:val="24"/>
          <w:szCs w:val="24"/>
        </w:rPr>
      </w:pPr>
      <w:r w:rsidRPr="00746AD9">
        <w:rPr>
          <w:sz w:val="24"/>
          <w:szCs w:val="24"/>
        </w:rPr>
        <w:t>Ensure</w:t>
      </w:r>
      <w:r w:rsidR="00D1158E" w:rsidRPr="00746AD9">
        <w:rPr>
          <w:sz w:val="24"/>
          <w:szCs w:val="24"/>
        </w:rPr>
        <w:t xml:space="preserve"> key functional areas are involved in the process, providing their thoughts on risk as encountered in their daily activities</w:t>
      </w:r>
    </w:p>
    <w:p w:rsidR="00D1158E" w:rsidRPr="00746AD9" w:rsidRDefault="000448C3" w:rsidP="009474E5">
      <w:pPr>
        <w:spacing w:after="0"/>
        <w:ind w:left="1080"/>
        <w:rPr>
          <w:sz w:val="24"/>
          <w:szCs w:val="24"/>
        </w:rPr>
      </w:pPr>
      <w:r w:rsidRPr="00746AD9">
        <w:rPr>
          <w:sz w:val="24"/>
          <w:szCs w:val="24"/>
        </w:rPr>
        <w:t xml:space="preserve">Aid </w:t>
      </w:r>
      <w:r w:rsidR="00D1158E" w:rsidRPr="00746AD9">
        <w:rPr>
          <w:sz w:val="24"/>
          <w:szCs w:val="24"/>
        </w:rPr>
        <w:t>in the implementation</w:t>
      </w:r>
    </w:p>
    <w:p w:rsidR="00E7527D" w:rsidRPr="00746AD9" w:rsidRDefault="00E7527D" w:rsidP="009474E5">
      <w:pPr>
        <w:spacing w:after="0"/>
        <w:ind w:left="1080"/>
        <w:rPr>
          <w:sz w:val="24"/>
          <w:szCs w:val="24"/>
        </w:rPr>
      </w:pPr>
    </w:p>
    <w:p w:rsidR="0027064D" w:rsidRPr="00746AD9" w:rsidRDefault="0027064D" w:rsidP="009474E5">
      <w:pPr>
        <w:pStyle w:val="ListParagraph"/>
        <w:numPr>
          <w:ilvl w:val="0"/>
          <w:numId w:val="9"/>
        </w:numPr>
        <w:rPr>
          <w:b/>
          <w:sz w:val="24"/>
          <w:szCs w:val="24"/>
          <w:u w:val="single"/>
        </w:rPr>
      </w:pPr>
      <w:r w:rsidRPr="00746AD9">
        <w:rPr>
          <w:b/>
          <w:sz w:val="24"/>
          <w:szCs w:val="24"/>
          <w:u w:val="single"/>
        </w:rPr>
        <w:t>Internal Control</w:t>
      </w:r>
      <w:r w:rsidR="009B3257" w:rsidRPr="00746AD9">
        <w:rPr>
          <w:b/>
          <w:sz w:val="24"/>
          <w:szCs w:val="24"/>
          <w:u w:val="single"/>
        </w:rPr>
        <w:t xml:space="preserve"> Defined</w:t>
      </w:r>
    </w:p>
    <w:p w:rsidR="0027064D" w:rsidRPr="00746AD9" w:rsidRDefault="0027064D" w:rsidP="009474E5">
      <w:pPr>
        <w:ind w:left="360"/>
        <w:rPr>
          <w:sz w:val="24"/>
          <w:szCs w:val="24"/>
        </w:rPr>
      </w:pPr>
      <w:r w:rsidRPr="00746AD9">
        <w:rPr>
          <w:sz w:val="24"/>
          <w:szCs w:val="24"/>
        </w:rPr>
        <w:t xml:space="preserve">Internal control is broadly defined </w:t>
      </w:r>
      <w:r w:rsidR="006568D9" w:rsidRPr="00746AD9">
        <w:rPr>
          <w:sz w:val="24"/>
          <w:szCs w:val="24"/>
        </w:rPr>
        <w:t xml:space="preserve">by COSO </w:t>
      </w:r>
      <w:r w:rsidRPr="00746AD9">
        <w:rPr>
          <w:sz w:val="24"/>
          <w:szCs w:val="24"/>
        </w:rPr>
        <w:t>as a process, effected by an institution’s board of trustees, management and other personnel, designed to provide reasonable assurance regarding the achievement of objectives in the following categories:</w:t>
      </w:r>
    </w:p>
    <w:p w:rsidR="0027064D" w:rsidRPr="00746AD9" w:rsidRDefault="0027064D" w:rsidP="009474E5">
      <w:pPr>
        <w:pStyle w:val="ListParagraph"/>
        <w:numPr>
          <w:ilvl w:val="0"/>
          <w:numId w:val="1"/>
        </w:numPr>
        <w:ind w:left="1080"/>
        <w:rPr>
          <w:sz w:val="24"/>
          <w:szCs w:val="24"/>
        </w:rPr>
      </w:pPr>
      <w:r w:rsidRPr="00746AD9">
        <w:rPr>
          <w:sz w:val="24"/>
          <w:szCs w:val="24"/>
        </w:rPr>
        <w:t>Effectiveness and efficiency of operations</w:t>
      </w:r>
    </w:p>
    <w:p w:rsidR="0027064D" w:rsidRPr="00746AD9" w:rsidRDefault="0027064D" w:rsidP="009474E5">
      <w:pPr>
        <w:pStyle w:val="ListParagraph"/>
        <w:numPr>
          <w:ilvl w:val="0"/>
          <w:numId w:val="1"/>
        </w:numPr>
        <w:ind w:left="1080"/>
        <w:rPr>
          <w:sz w:val="24"/>
          <w:szCs w:val="24"/>
        </w:rPr>
      </w:pPr>
      <w:r w:rsidRPr="00746AD9">
        <w:rPr>
          <w:sz w:val="24"/>
          <w:szCs w:val="24"/>
        </w:rPr>
        <w:t>Reliability of financial reporting</w:t>
      </w:r>
    </w:p>
    <w:p w:rsidR="0027064D" w:rsidRPr="00746AD9" w:rsidRDefault="0027064D" w:rsidP="009474E5">
      <w:pPr>
        <w:pStyle w:val="ListParagraph"/>
        <w:numPr>
          <w:ilvl w:val="0"/>
          <w:numId w:val="1"/>
        </w:numPr>
        <w:ind w:left="1080"/>
        <w:rPr>
          <w:sz w:val="24"/>
          <w:szCs w:val="24"/>
        </w:rPr>
      </w:pPr>
      <w:r w:rsidRPr="00746AD9">
        <w:rPr>
          <w:sz w:val="24"/>
          <w:szCs w:val="24"/>
        </w:rPr>
        <w:t>Compliance with applicable laws and regulations</w:t>
      </w:r>
    </w:p>
    <w:p w:rsidR="00BF0600" w:rsidRPr="00746AD9" w:rsidRDefault="00BF0600" w:rsidP="009474E5">
      <w:pPr>
        <w:ind w:left="360"/>
        <w:rPr>
          <w:sz w:val="24"/>
          <w:szCs w:val="24"/>
        </w:rPr>
      </w:pPr>
      <w:r w:rsidRPr="00746AD9">
        <w:rPr>
          <w:sz w:val="24"/>
          <w:szCs w:val="24"/>
        </w:rPr>
        <w:t xml:space="preserve">Internal controls </w:t>
      </w:r>
      <w:r w:rsidR="00D917FC" w:rsidRPr="00746AD9">
        <w:rPr>
          <w:sz w:val="24"/>
          <w:szCs w:val="24"/>
        </w:rPr>
        <w:t>help the institution achieve its</w:t>
      </w:r>
      <w:r w:rsidRPr="00746AD9">
        <w:rPr>
          <w:sz w:val="24"/>
          <w:szCs w:val="24"/>
        </w:rPr>
        <w:t xml:space="preserve"> strategic and operational goals while preventing loss of assets and resources.</w:t>
      </w:r>
      <w:r w:rsidR="00C21E49" w:rsidRPr="00746AD9">
        <w:rPr>
          <w:rStyle w:val="EndnoteReference"/>
          <w:sz w:val="24"/>
          <w:szCs w:val="24"/>
        </w:rPr>
        <w:endnoteReference w:id="2"/>
      </w:r>
      <w:r w:rsidR="00DA541C" w:rsidRPr="00746AD9">
        <w:rPr>
          <w:sz w:val="24"/>
          <w:szCs w:val="24"/>
        </w:rPr>
        <w:t xml:space="preserve">  In 1992, COSO issued an Internal Control framework identifying five interrelated components necessary for effective internal control.  Those same components were subsequently incorporated within the broadened framework of enterprise risk </w:t>
      </w:r>
      <w:r w:rsidR="003375F4" w:rsidRPr="00746AD9">
        <w:rPr>
          <w:sz w:val="24"/>
          <w:szCs w:val="24"/>
        </w:rPr>
        <w:t>management.</w:t>
      </w:r>
      <w:r w:rsidR="00DA541C" w:rsidRPr="00746AD9">
        <w:rPr>
          <w:sz w:val="24"/>
          <w:szCs w:val="24"/>
        </w:rPr>
        <w:t xml:space="preserve">  </w:t>
      </w:r>
    </w:p>
    <w:p w:rsidR="00BB1143" w:rsidRPr="00746AD9" w:rsidRDefault="00BB1143" w:rsidP="009474E5">
      <w:pPr>
        <w:pStyle w:val="ListParagraph"/>
        <w:numPr>
          <w:ilvl w:val="0"/>
          <w:numId w:val="9"/>
        </w:numPr>
        <w:rPr>
          <w:b/>
          <w:sz w:val="24"/>
          <w:szCs w:val="24"/>
          <w:u w:val="single"/>
        </w:rPr>
      </w:pPr>
      <w:r w:rsidRPr="00746AD9">
        <w:rPr>
          <w:b/>
          <w:sz w:val="24"/>
          <w:szCs w:val="24"/>
          <w:u w:val="single"/>
        </w:rPr>
        <w:t>Enterprise Risk Management</w:t>
      </w:r>
      <w:r w:rsidR="009B3257" w:rsidRPr="00746AD9">
        <w:rPr>
          <w:b/>
          <w:sz w:val="24"/>
          <w:szCs w:val="24"/>
          <w:u w:val="single"/>
        </w:rPr>
        <w:t xml:space="preserve"> Defined</w:t>
      </w:r>
    </w:p>
    <w:p w:rsidR="006213E2" w:rsidRPr="00746AD9" w:rsidRDefault="00273332" w:rsidP="009474E5">
      <w:pPr>
        <w:ind w:left="360"/>
        <w:rPr>
          <w:sz w:val="24"/>
          <w:szCs w:val="24"/>
        </w:rPr>
      </w:pPr>
      <w:r w:rsidRPr="00746AD9">
        <w:rPr>
          <w:sz w:val="24"/>
          <w:szCs w:val="24"/>
        </w:rPr>
        <w:t>Enterprise risk management is defined by COSO as a process, effected by an entity’s</w:t>
      </w:r>
      <w:r w:rsidR="000A6F6C" w:rsidRPr="00746AD9">
        <w:rPr>
          <w:sz w:val="24"/>
          <w:szCs w:val="24"/>
        </w:rPr>
        <w:t xml:space="preserve"> </w:t>
      </w:r>
      <w:r w:rsidRPr="00746AD9">
        <w:rPr>
          <w:sz w:val="24"/>
          <w:szCs w:val="24"/>
        </w:rPr>
        <w:t>b</w:t>
      </w:r>
      <w:r w:rsidR="000A6F6C" w:rsidRPr="00746AD9">
        <w:rPr>
          <w:sz w:val="24"/>
          <w:szCs w:val="24"/>
        </w:rPr>
        <w:t xml:space="preserve">oard of </w:t>
      </w:r>
      <w:r w:rsidRPr="00746AD9">
        <w:rPr>
          <w:sz w:val="24"/>
          <w:szCs w:val="24"/>
        </w:rPr>
        <w:t>directors, management</w:t>
      </w:r>
      <w:r w:rsidR="000A6F6C" w:rsidRPr="00746AD9">
        <w:rPr>
          <w:sz w:val="24"/>
          <w:szCs w:val="24"/>
        </w:rPr>
        <w:t xml:space="preserve"> and other personnel</w:t>
      </w:r>
      <w:r w:rsidRPr="00746AD9">
        <w:rPr>
          <w:sz w:val="24"/>
          <w:szCs w:val="24"/>
        </w:rPr>
        <w:t>, applied in a strategy setting and across the enterprise,</w:t>
      </w:r>
      <w:r w:rsidR="000A6F6C" w:rsidRPr="00746AD9">
        <w:rPr>
          <w:sz w:val="24"/>
          <w:szCs w:val="24"/>
        </w:rPr>
        <w:t xml:space="preserve"> </w:t>
      </w:r>
      <w:r w:rsidR="000A6F6C" w:rsidRPr="00746AD9">
        <w:rPr>
          <w:sz w:val="24"/>
          <w:szCs w:val="24"/>
        </w:rPr>
        <w:lastRenderedPageBreak/>
        <w:t>designed to identify potential events that may affect the entity, and manage risk</w:t>
      </w:r>
      <w:r w:rsidRPr="00746AD9">
        <w:rPr>
          <w:sz w:val="24"/>
          <w:szCs w:val="24"/>
        </w:rPr>
        <w:t>s to be within its risk appetite, to provide reasonable assurance regarding the achievement of entity objectives.</w:t>
      </w:r>
    </w:p>
    <w:p w:rsidR="006213E2" w:rsidRPr="00746AD9" w:rsidRDefault="00566AB8" w:rsidP="009474E5">
      <w:pPr>
        <w:ind w:left="360"/>
        <w:rPr>
          <w:sz w:val="24"/>
          <w:szCs w:val="24"/>
        </w:rPr>
      </w:pPr>
      <w:r w:rsidRPr="00746AD9">
        <w:rPr>
          <w:sz w:val="24"/>
          <w:szCs w:val="24"/>
        </w:rPr>
        <w:t xml:space="preserve">The </w:t>
      </w:r>
      <w:r w:rsidRPr="00746AD9">
        <w:rPr>
          <w:sz w:val="24"/>
          <w:szCs w:val="24"/>
          <w:u w:val="single"/>
        </w:rPr>
        <w:t>primary</w:t>
      </w:r>
      <w:r w:rsidR="006213E2" w:rsidRPr="00746AD9">
        <w:rPr>
          <w:sz w:val="24"/>
          <w:szCs w:val="24"/>
          <w:u w:val="single"/>
        </w:rPr>
        <w:t xml:space="preserve"> benefits</w:t>
      </w:r>
      <w:r w:rsidR="006213E2" w:rsidRPr="00746AD9">
        <w:rPr>
          <w:sz w:val="24"/>
          <w:szCs w:val="24"/>
        </w:rPr>
        <w:t xml:space="preserve"> provided by having a risk management process established </w:t>
      </w:r>
      <w:r w:rsidRPr="00746AD9">
        <w:rPr>
          <w:sz w:val="24"/>
          <w:szCs w:val="24"/>
        </w:rPr>
        <w:t>include the following</w:t>
      </w:r>
      <w:r w:rsidR="006213E2" w:rsidRPr="00746AD9">
        <w:rPr>
          <w:sz w:val="24"/>
          <w:szCs w:val="24"/>
        </w:rPr>
        <w:t>:</w:t>
      </w:r>
    </w:p>
    <w:p w:rsidR="006213E2" w:rsidRPr="00746AD9" w:rsidRDefault="00566AB8" w:rsidP="009474E5">
      <w:pPr>
        <w:pStyle w:val="ListParagraph"/>
        <w:numPr>
          <w:ilvl w:val="0"/>
          <w:numId w:val="15"/>
        </w:numPr>
        <w:spacing w:after="120"/>
        <w:ind w:left="1080"/>
        <w:rPr>
          <w:sz w:val="24"/>
          <w:szCs w:val="24"/>
        </w:rPr>
      </w:pPr>
      <w:r w:rsidRPr="00746AD9">
        <w:rPr>
          <w:sz w:val="24"/>
          <w:szCs w:val="24"/>
        </w:rPr>
        <w:t>Help align risk appetite and strategy</w:t>
      </w:r>
    </w:p>
    <w:p w:rsidR="00566AB8" w:rsidRPr="00746AD9" w:rsidRDefault="00566AB8" w:rsidP="009474E5">
      <w:pPr>
        <w:pStyle w:val="ListParagraph"/>
        <w:numPr>
          <w:ilvl w:val="0"/>
          <w:numId w:val="15"/>
        </w:numPr>
        <w:spacing w:after="120"/>
        <w:ind w:left="1080"/>
        <w:rPr>
          <w:sz w:val="24"/>
          <w:szCs w:val="24"/>
        </w:rPr>
      </w:pPr>
      <w:r w:rsidRPr="00746AD9">
        <w:rPr>
          <w:sz w:val="24"/>
          <w:szCs w:val="24"/>
        </w:rPr>
        <w:t>Enhance risk response decisions (</w:t>
      </w:r>
      <w:r w:rsidR="00665D78" w:rsidRPr="00746AD9">
        <w:rPr>
          <w:sz w:val="24"/>
          <w:szCs w:val="24"/>
        </w:rPr>
        <w:t xml:space="preserve">management’s selection of risk response: </w:t>
      </w:r>
      <w:r w:rsidR="00665D78" w:rsidRPr="00746AD9">
        <w:rPr>
          <w:i/>
          <w:sz w:val="24"/>
          <w:szCs w:val="24"/>
        </w:rPr>
        <w:t xml:space="preserve">avoidance, reduction, sharing, acceptance </w:t>
      </w:r>
      <w:r w:rsidRPr="00746AD9">
        <w:rPr>
          <w:sz w:val="24"/>
          <w:szCs w:val="24"/>
        </w:rPr>
        <w:t>)</w:t>
      </w:r>
    </w:p>
    <w:p w:rsidR="00566AB8" w:rsidRPr="00746AD9" w:rsidRDefault="00566AB8" w:rsidP="009474E5">
      <w:pPr>
        <w:pStyle w:val="ListParagraph"/>
        <w:numPr>
          <w:ilvl w:val="0"/>
          <w:numId w:val="15"/>
        </w:numPr>
        <w:spacing w:after="120"/>
        <w:ind w:left="1080"/>
        <w:rPr>
          <w:sz w:val="24"/>
          <w:szCs w:val="24"/>
        </w:rPr>
      </w:pPr>
      <w:r w:rsidRPr="00746AD9">
        <w:rPr>
          <w:sz w:val="24"/>
          <w:szCs w:val="24"/>
        </w:rPr>
        <w:t>Reduce operational surprises and losses</w:t>
      </w:r>
    </w:p>
    <w:p w:rsidR="00566AB8" w:rsidRPr="00746AD9" w:rsidRDefault="00566AB8" w:rsidP="009474E5">
      <w:pPr>
        <w:pStyle w:val="ListParagraph"/>
        <w:numPr>
          <w:ilvl w:val="0"/>
          <w:numId w:val="15"/>
        </w:numPr>
        <w:spacing w:after="120"/>
        <w:ind w:left="1080"/>
        <w:rPr>
          <w:sz w:val="24"/>
          <w:szCs w:val="24"/>
        </w:rPr>
      </w:pPr>
      <w:r w:rsidRPr="00746AD9">
        <w:rPr>
          <w:sz w:val="24"/>
          <w:szCs w:val="24"/>
        </w:rPr>
        <w:t>Identify and manage multiple and cross-enterprise risks (inter-related impacts and integrated responses)</w:t>
      </w:r>
    </w:p>
    <w:p w:rsidR="00566AB8" w:rsidRPr="00746AD9" w:rsidRDefault="00566AB8" w:rsidP="009474E5">
      <w:pPr>
        <w:pStyle w:val="ListParagraph"/>
        <w:numPr>
          <w:ilvl w:val="0"/>
          <w:numId w:val="15"/>
        </w:numPr>
        <w:spacing w:after="120"/>
        <w:ind w:left="1080"/>
        <w:rPr>
          <w:sz w:val="24"/>
          <w:szCs w:val="24"/>
        </w:rPr>
      </w:pPr>
      <w:r w:rsidRPr="00746AD9">
        <w:rPr>
          <w:sz w:val="24"/>
          <w:szCs w:val="24"/>
        </w:rPr>
        <w:t>Seize opportunities</w:t>
      </w:r>
    </w:p>
    <w:p w:rsidR="00566AB8" w:rsidRPr="00746AD9" w:rsidRDefault="00566AB8" w:rsidP="009474E5">
      <w:pPr>
        <w:pStyle w:val="ListParagraph"/>
        <w:numPr>
          <w:ilvl w:val="0"/>
          <w:numId w:val="15"/>
        </w:numPr>
        <w:spacing w:after="120"/>
        <w:ind w:left="1080"/>
        <w:rPr>
          <w:sz w:val="24"/>
          <w:szCs w:val="24"/>
        </w:rPr>
      </w:pPr>
      <w:r w:rsidRPr="00746AD9">
        <w:rPr>
          <w:sz w:val="24"/>
          <w:szCs w:val="24"/>
        </w:rPr>
        <w:t>Improve deployment of capital</w:t>
      </w:r>
    </w:p>
    <w:p w:rsidR="001F5095" w:rsidRPr="00746AD9" w:rsidRDefault="001F5095" w:rsidP="009474E5">
      <w:pPr>
        <w:pStyle w:val="ListParagraph"/>
        <w:numPr>
          <w:ilvl w:val="0"/>
          <w:numId w:val="15"/>
        </w:numPr>
        <w:spacing w:after="120"/>
        <w:ind w:left="1080"/>
        <w:rPr>
          <w:sz w:val="24"/>
          <w:szCs w:val="24"/>
        </w:rPr>
      </w:pPr>
      <w:r w:rsidRPr="00746AD9">
        <w:rPr>
          <w:sz w:val="24"/>
          <w:szCs w:val="24"/>
        </w:rPr>
        <w:t>To have a formal, documented method to demonstrate that risks are identified, ranked, any mitigating controls are considered, and the high-risk areas are dealt with or that management accepts the risk</w:t>
      </w:r>
    </w:p>
    <w:p w:rsidR="001F5095" w:rsidRPr="00746AD9" w:rsidRDefault="002502C7" w:rsidP="009474E5">
      <w:pPr>
        <w:pStyle w:val="ListParagraph"/>
        <w:numPr>
          <w:ilvl w:val="0"/>
          <w:numId w:val="15"/>
        </w:numPr>
        <w:spacing w:after="120"/>
        <w:ind w:left="1080"/>
        <w:rPr>
          <w:sz w:val="24"/>
          <w:szCs w:val="24"/>
        </w:rPr>
      </w:pPr>
      <w:r w:rsidRPr="00746AD9">
        <w:rPr>
          <w:sz w:val="24"/>
          <w:szCs w:val="24"/>
        </w:rPr>
        <w:t>To be able to present the consolidated risk assessment (or risk register) to the Board of Regents for their awareness</w:t>
      </w:r>
    </w:p>
    <w:p w:rsidR="004907DB" w:rsidRPr="00746AD9" w:rsidRDefault="002502C7" w:rsidP="009474E5">
      <w:pPr>
        <w:pStyle w:val="ListParagraph"/>
        <w:numPr>
          <w:ilvl w:val="0"/>
          <w:numId w:val="15"/>
        </w:numPr>
        <w:spacing w:after="120"/>
        <w:ind w:left="1080"/>
        <w:rPr>
          <w:sz w:val="24"/>
          <w:szCs w:val="24"/>
        </w:rPr>
      </w:pPr>
      <w:r w:rsidRPr="00746AD9">
        <w:rPr>
          <w:sz w:val="24"/>
          <w:szCs w:val="24"/>
        </w:rPr>
        <w:t>To have the risk assessment results available for use during strategic planning sessions and operating reviews</w:t>
      </w:r>
    </w:p>
    <w:p w:rsidR="002502C7" w:rsidRPr="00746AD9" w:rsidRDefault="002502C7" w:rsidP="009474E5">
      <w:pPr>
        <w:pStyle w:val="ListParagraph"/>
        <w:numPr>
          <w:ilvl w:val="0"/>
          <w:numId w:val="15"/>
        </w:numPr>
        <w:spacing w:after="120"/>
        <w:ind w:left="1080"/>
        <w:rPr>
          <w:sz w:val="24"/>
          <w:szCs w:val="24"/>
        </w:rPr>
      </w:pPr>
      <w:r w:rsidRPr="00746AD9">
        <w:rPr>
          <w:sz w:val="24"/>
          <w:szCs w:val="24"/>
        </w:rPr>
        <w:t>To facilitate development of the annual audit plan based on risks identified by the campuses</w:t>
      </w:r>
      <w:r w:rsidR="00C71AE8" w:rsidRPr="00746AD9">
        <w:rPr>
          <w:sz w:val="24"/>
          <w:szCs w:val="24"/>
        </w:rPr>
        <w:t xml:space="preserve"> and demonstrate the linkage of the audit plan to the high-risk areas</w:t>
      </w:r>
    </w:p>
    <w:p w:rsidR="00E7527D" w:rsidRPr="00746AD9" w:rsidRDefault="00E7527D" w:rsidP="009474E5">
      <w:pPr>
        <w:pStyle w:val="ListParagraph"/>
        <w:spacing w:after="120"/>
        <w:ind w:left="1440"/>
        <w:rPr>
          <w:sz w:val="24"/>
          <w:szCs w:val="24"/>
        </w:rPr>
      </w:pPr>
    </w:p>
    <w:p w:rsidR="0071471F" w:rsidRPr="00746AD9" w:rsidRDefault="004225EE" w:rsidP="009474E5">
      <w:pPr>
        <w:pStyle w:val="ListParagraph"/>
        <w:numPr>
          <w:ilvl w:val="0"/>
          <w:numId w:val="9"/>
        </w:numPr>
        <w:rPr>
          <w:b/>
          <w:sz w:val="24"/>
          <w:szCs w:val="24"/>
          <w:u w:val="single"/>
        </w:rPr>
      </w:pPr>
      <w:r w:rsidRPr="00746AD9">
        <w:rPr>
          <w:b/>
          <w:sz w:val="24"/>
          <w:szCs w:val="24"/>
          <w:u w:val="single"/>
        </w:rPr>
        <w:t>Components of E</w:t>
      </w:r>
      <w:r w:rsidR="0071471F" w:rsidRPr="00746AD9">
        <w:rPr>
          <w:b/>
          <w:sz w:val="24"/>
          <w:szCs w:val="24"/>
          <w:u w:val="single"/>
        </w:rPr>
        <w:t xml:space="preserve">nterprise </w:t>
      </w:r>
      <w:r w:rsidRPr="00746AD9">
        <w:rPr>
          <w:b/>
          <w:sz w:val="24"/>
          <w:szCs w:val="24"/>
          <w:u w:val="single"/>
        </w:rPr>
        <w:t>R</w:t>
      </w:r>
      <w:r w:rsidR="0071471F" w:rsidRPr="00746AD9">
        <w:rPr>
          <w:b/>
          <w:sz w:val="24"/>
          <w:szCs w:val="24"/>
          <w:u w:val="single"/>
        </w:rPr>
        <w:t xml:space="preserve">isk </w:t>
      </w:r>
      <w:r w:rsidRPr="00746AD9">
        <w:rPr>
          <w:b/>
          <w:sz w:val="24"/>
          <w:szCs w:val="24"/>
          <w:u w:val="single"/>
        </w:rPr>
        <w:t>M</w:t>
      </w:r>
      <w:r w:rsidR="0071471F" w:rsidRPr="00746AD9">
        <w:rPr>
          <w:b/>
          <w:sz w:val="24"/>
          <w:szCs w:val="24"/>
          <w:u w:val="single"/>
        </w:rPr>
        <w:t>anagement</w:t>
      </w:r>
    </w:p>
    <w:p w:rsidR="0071471F" w:rsidRPr="00746AD9" w:rsidRDefault="00C15D2C" w:rsidP="009474E5">
      <w:pPr>
        <w:ind w:left="360"/>
        <w:rPr>
          <w:sz w:val="24"/>
          <w:szCs w:val="24"/>
        </w:rPr>
      </w:pPr>
      <w:r w:rsidRPr="00746AD9">
        <w:rPr>
          <w:sz w:val="24"/>
          <w:szCs w:val="24"/>
        </w:rPr>
        <w:t xml:space="preserve">There is a direct role between </w:t>
      </w:r>
      <w:r w:rsidR="00397332" w:rsidRPr="00746AD9">
        <w:rPr>
          <w:sz w:val="24"/>
          <w:szCs w:val="24"/>
        </w:rPr>
        <w:t xml:space="preserve">the </w:t>
      </w:r>
      <w:r w:rsidRPr="00746AD9">
        <w:rPr>
          <w:sz w:val="24"/>
          <w:szCs w:val="24"/>
        </w:rPr>
        <w:t>objectives</w:t>
      </w:r>
      <w:r w:rsidR="00397332" w:rsidRPr="00746AD9">
        <w:rPr>
          <w:sz w:val="24"/>
          <w:szCs w:val="24"/>
        </w:rPr>
        <w:t xml:space="preserve"> set forth in the mission statements</w:t>
      </w:r>
      <w:r w:rsidRPr="00746AD9">
        <w:rPr>
          <w:sz w:val="24"/>
          <w:szCs w:val="24"/>
        </w:rPr>
        <w:t xml:space="preserve">, which are what the entity strives to achieve, and enterprise risk management components, which represent what is needed to achieve them.  </w:t>
      </w:r>
      <w:r w:rsidR="004225EE" w:rsidRPr="00746AD9">
        <w:rPr>
          <w:sz w:val="24"/>
          <w:szCs w:val="24"/>
        </w:rPr>
        <w:t>There are eight interrelated components of enterprise risk management that are integral with the management process</w:t>
      </w:r>
      <w:r w:rsidR="005414B3" w:rsidRPr="00746AD9">
        <w:rPr>
          <w:rStyle w:val="EndnoteReference"/>
          <w:sz w:val="24"/>
          <w:szCs w:val="24"/>
        </w:rPr>
        <w:endnoteReference w:id="3"/>
      </w:r>
      <w:r w:rsidR="004225EE" w:rsidRPr="00746AD9">
        <w:rPr>
          <w:sz w:val="24"/>
          <w:szCs w:val="24"/>
        </w:rPr>
        <w:t>:</w:t>
      </w:r>
    </w:p>
    <w:p w:rsidR="005414B3" w:rsidRPr="009430A9" w:rsidRDefault="002455F8" w:rsidP="009474E5">
      <w:pPr>
        <w:pStyle w:val="ListParagraph"/>
        <w:numPr>
          <w:ilvl w:val="0"/>
          <w:numId w:val="14"/>
        </w:numPr>
        <w:autoSpaceDE w:val="0"/>
        <w:autoSpaceDN w:val="0"/>
        <w:adjustRightInd w:val="0"/>
        <w:spacing w:after="0"/>
        <w:rPr>
          <w:rFonts w:cs="TimesNewRoman"/>
          <w:sz w:val="24"/>
          <w:szCs w:val="24"/>
        </w:rPr>
      </w:pPr>
      <w:r w:rsidRPr="009430A9">
        <w:rPr>
          <w:b/>
          <w:sz w:val="24"/>
          <w:szCs w:val="24"/>
        </w:rPr>
        <w:t>Internal environment</w:t>
      </w:r>
      <w:r w:rsidRPr="009430A9">
        <w:rPr>
          <w:sz w:val="24"/>
          <w:szCs w:val="24"/>
        </w:rPr>
        <w:t xml:space="preserve"> – </w:t>
      </w:r>
      <w:r w:rsidR="005414B3" w:rsidRPr="009430A9">
        <w:rPr>
          <w:rFonts w:cs="TimesNewRoman"/>
          <w:sz w:val="24"/>
          <w:szCs w:val="24"/>
        </w:rPr>
        <w:t>Management sets a philosophy regarding risk and establishes a</w:t>
      </w:r>
      <w:r w:rsidR="009430A9" w:rsidRPr="009430A9">
        <w:rPr>
          <w:rFonts w:cs="TimesNewRoman"/>
          <w:sz w:val="24"/>
          <w:szCs w:val="24"/>
        </w:rPr>
        <w:t xml:space="preserve"> </w:t>
      </w:r>
      <w:r w:rsidR="005414B3" w:rsidRPr="009430A9">
        <w:rPr>
          <w:rFonts w:cs="TimesNewRoman"/>
          <w:sz w:val="24"/>
          <w:szCs w:val="24"/>
        </w:rPr>
        <w:t>risk appetite. The internal environment sets the basis for how risk and control are</w:t>
      </w:r>
      <w:r w:rsidR="009430A9" w:rsidRPr="009430A9">
        <w:rPr>
          <w:rFonts w:cs="TimesNewRoman"/>
          <w:sz w:val="24"/>
          <w:szCs w:val="24"/>
        </w:rPr>
        <w:t xml:space="preserve"> </w:t>
      </w:r>
      <w:r w:rsidR="005414B3" w:rsidRPr="009430A9">
        <w:rPr>
          <w:rFonts w:cs="TimesNewRoman"/>
          <w:sz w:val="24"/>
          <w:szCs w:val="24"/>
        </w:rPr>
        <w:t>viewed and addressed by an entity’s people. The core of any business is its people –</w:t>
      </w:r>
      <w:r w:rsidR="009430A9" w:rsidRPr="009430A9">
        <w:rPr>
          <w:rFonts w:cs="TimesNewRoman"/>
          <w:sz w:val="24"/>
          <w:szCs w:val="24"/>
        </w:rPr>
        <w:t xml:space="preserve"> </w:t>
      </w:r>
      <w:r w:rsidR="005414B3" w:rsidRPr="009430A9">
        <w:rPr>
          <w:rFonts w:cs="TimesNewRoman"/>
          <w:sz w:val="24"/>
          <w:szCs w:val="24"/>
        </w:rPr>
        <w:t xml:space="preserve">their individual </w:t>
      </w:r>
      <w:r w:rsidR="005414B3" w:rsidRPr="009430A9">
        <w:rPr>
          <w:rFonts w:cs="TimesNewRoman"/>
          <w:sz w:val="24"/>
          <w:szCs w:val="24"/>
        </w:rPr>
        <w:lastRenderedPageBreak/>
        <w:t>attributes, including integrity, ethical values, and competence – and</w:t>
      </w:r>
      <w:r w:rsidR="009430A9">
        <w:rPr>
          <w:rFonts w:cs="TimesNewRoman"/>
          <w:sz w:val="24"/>
          <w:szCs w:val="24"/>
        </w:rPr>
        <w:t xml:space="preserve"> </w:t>
      </w:r>
      <w:r w:rsidR="005414B3" w:rsidRPr="009430A9">
        <w:rPr>
          <w:rFonts w:cs="TimesNewRoman"/>
          <w:sz w:val="24"/>
          <w:szCs w:val="24"/>
        </w:rPr>
        <w:t>the environment in which they operate.</w:t>
      </w:r>
    </w:p>
    <w:p w:rsidR="00894132" w:rsidRPr="00746AD9" w:rsidRDefault="00894132" w:rsidP="009474E5">
      <w:pPr>
        <w:autoSpaceDE w:val="0"/>
        <w:autoSpaceDN w:val="0"/>
        <w:adjustRightInd w:val="0"/>
        <w:spacing w:after="0"/>
        <w:ind w:left="720"/>
        <w:rPr>
          <w:rFonts w:cs="TimesNewRoman"/>
          <w:sz w:val="24"/>
          <w:szCs w:val="24"/>
        </w:rPr>
      </w:pPr>
    </w:p>
    <w:p w:rsidR="005414B3" w:rsidRPr="002A2A64" w:rsidRDefault="002455F8" w:rsidP="009474E5">
      <w:pPr>
        <w:pStyle w:val="ListParagraph"/>
        <w:numPr>
          <w:ilvl w:val="0"/>
          <w:numId w:val="14"/>
        </w:numPr>
        <w:autoSpaceDE w:val="0"/>
        <w:autoSpaceDN w:val="0"/>
        <w:adjustRightInd w:val="0"/>
        <w:spacing w:after="0"/>
        <w:rPr>
          <w:rFonts w:cs="TimesNewRoman"/>
          <w:sz w:val="24"/>
          <w:szCs w:val="24"/>
        </w:rPr>
      </w:pPr>
      <w:r w:rsidRPr="002A2A64">
        <w:rPr>
          <w:b/>
          <w:sz w:val="24"/>
          <w:szCs w:val="24"/>
        </w:rPr>
        <w:t>Objective setting</w:t>
      </w:r>
      <w:r w:rsidRPr="002A2A64">
        <w:rPr>
          <w:sz w:val="24"/>
          <w:szCs w:val="24"/>
        </w:rPr>
        <w:t xml:space="preserve"> – </w:t>
      </w:r>
      <w:r w:rsidR="005414B3" w:rsidRPr="002A2A64">
        <w:rPr>
          <w:rFonts w:cs="TimesNewRoman"/>
          <w:sz w:val="24"/>
          <w:szCs w:val="24"/>
        </w:rPr>
        <w:t>Objectives must exist before management can identify potential</w:t>
      </w:r>
      <w:r w:rsidR="002A2A64" w:rsidRPr="002A2A64">
        <w:rPr>
          <w:rFonts w:cs="TimesNewRoman"/>
          <w:sz w:val="24"/>
          <w:szCs w:val="24"/>
        </w:rPr>
        <w:t xml:space="preserve"> </w:t>
      </w:r>
      <w:r w:rsidR="005414B3" w:rsidRPr="002A2A64">
        <w:rPr>
          <w:rFonts w:cs="TimesNewRoman"/>
          <w:sz w:val="24"/>
          <w:szCs w:val="24"/>
        </w:rPr>
        <w:t>events affecting their achievement. Enterprise risk management ensures that</w:t>
      </w:r>
      <w:r w:rsidR="002A2A64" w:rsidRPr="002A2A64">
        <w:rPr>
          <w:rFonts w:cs="TimesNewRoman"/>
          <w:sz w:val="24"/>
          <w:szCs w:val="24"/>
        </w:rPr>
        <w:t xml:space="preserve"> </w:t>
      </w:r>
      <w:r w:rsidR="005414B3" w:rsidRPr="002A2A64">
        <w:rPr>
          <w:rFonts w:cs="TimesNewRoman"/>
          <w:sz w:val="24"/>
          <w:szCs w:val="24"/>
        </w:rPr>
        <w:t>management has in place a process to set objectives and that the chosen objectives</w:t>
      </w:r>
      <w:r w:rsidR="002A2A64">
        <w:rPr>
          <w:rFonts w:cs="TimesNewRoman"/>
          <w:sz w:val="24"/>
          <w:szCs w:val="24"/>
        </w:rPr>
        <w:t xml:space="preserve"> </w:t>
      </w:r>
      <w:r w:rsidR="005414B3" w:rsidRPr="002A2A64">
        <w:rPr>
          <w:rFonts w:cs="TimesNewRoman"/>
          <w:sz w:val="24"/>
          <w:szCs w:val="24"/>
        </w:rPr>
        <w:t>support and align with the entity’s mission and are consistent with its risk appetite.</w:t>
      </w:r>
    </w:p>
    <w:p w:rsidR="00894132" w:rsidRPr="00746AD9" w:rsidRDefault="00894132" w:rsidP="009474E5">
      <w:pPr>
        <w:autoSpaceDE w:val="0"/>
        <w:autoSpaceDN w:val="0"/>
        <w:adjustRightInd w:val="0"/>
        <w:spacing w:after="0"/>
        <w:ind w:left="720"/>
        <w:rPr>
          <w:rFonts w:cs="TimesNewRoman"/>
          <w:sz w:val="24"/>
          <w:szCs w:val="24"/>
        </w:rPr>
      </w:pPr>
    </w:p>
    <w:p w:rsidR="005414B3" w:rsidRPr="002A2A64" w:rsidRDefault="003574E8" w:rsidP="009474E5">
      <w:pPr>
        <w:pStyle w:val="ListParagraph"/>
        <w:numPr>
          <w:ilvl w:val="0"/>
          <w:numId w:val="14"/>
        </w:numPr>
        <w:autoSpaceDE w:val="0"/>
        <w:autoSpaceDN w:val="0"/>
        <w:adjustRightInd w:val="0"/>
        <w:spacing w:after="0"/>
        <w:rPr>
          <w:rFonts w:cs="TimesNewRoman"/>
          <w:sz w:val="24"/>
          <w:szCs w:val="24"/>
        </w:rPr>
      </w:pPr>
      <w:r w:rsidRPr="002A2A64">
        <w:rPr>
          <w:b/>
          <w:sz w:val="24"/>
          <w:szCs w:val="24"/>
        </w:rPr>
        <w:t>Event identification</w:t>
      </w:r>
      <w:r w:rsidRPr="002A2A64">
        <w:rPr>
          <w:sz w:val="24"/>
          <w:szCs w:val="24"/>
        </w:rPr>
        <w:t xml:space="preserve"> – </w:t>
      </w:r>
      <w:r w:rsidR="005414B3" w:rsidRPr="002A2A64">
        <w:rPr>
          <w:rFonts w:cs="TimesNewRoman"/>
          <w:sz w:val="24"/>
          <w:szCs w:val="24"/>
        </w:rPr>
        <w:t>Potential events that might have an impact on the entity must be</w:t>
      </w:r>
      <w:r w:rsidR="002A2A64" w:rsidRPr="002A2A64">
        <w:rPr>
          <w:rFonts w:cs="TimesNewRoman"/>
          <w:sz w:val="24"/>
          <w:szCs w:val="24"/>
        </w:rPr>
        <w:t xml:space="preserve"> </w:t>
      </w:r>
      <w:r w:rsidR="005414B3" w:rsidRPr="002A2A64">
        <w:rPr>
          <w:rFonts w:cs="TimesNewRoman"/>
          <w:sz w:val="24"/>
          <w:szCs w:val="24"/>
        </w:rPr>
        <w:t>identified. Event identification involves identifying potential events from internal or</w:t>
      </w:r>
      <w:r w:rsidR="002A2A64" w:rsidRPr="002A2A64">
        <w:rPr>
          <w:rFonts w:cs="TimesNewRoman"/>
          <w:sz w:val="24"/>
          <w:szCs w:val="24"/>
        </w:rPr>
        <w:t xml:space="preserve"> </w:t>
      </w:r>
      <w:r w:rsidR="005414B3" w:rsidRPr="002A2A64">
        <w:rPr>
          <w:rFonts w:cs="TimesNewRoman"/>
          <w:sz w:val="24"/>
          <w:szCs w:val="24"/>
        </w:rPr>
        <w:t>external sources affecting achievement of objectives. It includes distinguishing</w:t>
      </w:r>
      <w:r w:rsidR="002A2A64" w:rsidRPr="002A2A64">
        <w:rPr>
          <w:rFonts w:cs="TimesNewRoman"/>
          <w:sz w:val="24"/>
          <w:szCs w:val="24"/>
        </w:rPr>
        <w:t xml:space="preserve"> </w:t>
      </w:r>
      <w:r w:rsidR="005414B3" w:rsidRPr="002A2A64">
        <w:rPr>
          <w:rFonts w:cs="TimesNewRoman"/>
          <w:sz w:val="24"/>
          <w:szCs w:val="24"/>
        </w:rPr>
        <w:t>between events that represent risks, those representing opportunities, and those that</w:t>
      </w:r>
      <w:r w:rsidR="002A2A64" w:rsidRPr="002A2A64">
        <w:rPr>
          <w:rFonts w:cs="TimesNewRoman"/>
          <w:sz w:val="24"/>
          <w:szCs w:val="24"/>
        </w:rPr>
        <w:t xml:space="preserve"> </w:t>
      </w:r>
      <w:r w:rsidR="005414B3" w:rsidRPr="002A2A64">
        <w:rPr>
          <w:rFonts w:cs="TimesNewRoman"/>
          <w:sz w:val="24"/>
          <w:szCs w:val="24"/>
        </w:rPr>
        <w:t>may be both. Opportunities are channeled back to management’s strategy or</w:t>
      </w:r>
      <w:r w:rsidR="002A2A64">
        <w:rPr>
          <w:rFonts w:cs="TimesNewRoman"/>
          <w:sz w:val="24"/>
          <w:szCs w:val="24"/>
        </w:rPr>
        <w:t xml:space="preserve"> </w:t>
      </w:r>
      <w:r w:rsidR="005414B3" w:rsidRPr="002A2A64">
        <w:rPr>
          <w:rFonts w:cs="TimesNewRoman"/>
          <w:sz w:val="24"/>
          <w:szCs w:val="24"/>
        </w:rPr>
        <w:t>objective-setting processes.</w:t>
      </w:r>
    </w:p>
    <w:p w:rsidR="00894132" w:rsidRPr="00746AD9" w:rsidRDefault="00894132" w:rsidP="009474E5">
      <w:pPr>
        <w:autoSpaceDE w:val="0"/>
        <w:autoSpaceDN w:val="0"/>
        <w:adjustRightInd w:val="0"/>
        <w:spacing w:after="0"/>
        <w:ind w:left="720"/>
        <w:rPr>
          <w:rFonts w:cs="TimesNewRoman"/>
          <w:sz w:val="24"/>
          <w:szCs w:val="24"/>
        </w:rPr>
      </w:pPr>
    </w:p>
    <w:p w:rsidR="005414B3" w:rsidRPr="002A2A64" w:rsidRDefault="00865F1E" w:rsidP="009474E5">
      <w:pPr>
        <w:pStyle w:val="ListParagraph"/>
        <w:numPr>
          <w:ilvl w:val="0"/>
          <w:numId w:val="14"/>
        </w:numPr>
        <w:autoSpaceDE w:val="0"/>
        <w:autoSpaceDN w:val="0"/>
        <w:adjustRightInd w:val="0"/>
        <w:spacing w:after="0"/>
        <w:rPr>
          <w:rFonts w:cs="TimesNewRoman"/>
          <w:sz w:val="24"/>
          <w:szCs w:val="24"/>
        </w:rPr>
      </w:pPr>
      <w:r w:rsidRPr="002A2A64">
        <w:rPr>
          <w:b/>
          <w:sz w:val="24"/>
          <w:szCs w:val="24"/>
        </w:rPr>
        <w:t>Risk assessment</w:t>
      </w:r>
      <w:r w:rsidRPr="002A2A64">
        <w:rPr>
          <w:sz w:val="24"/>
          <w:szCs w:val="24"/>
        </w:rPr>
        <w:t xml:space="preserve"> – </w:t>
      </w:r>
      <w:r w:rsidR="005414B3" w:rsidRPr="002A2A64">
        <w:rPr>
          <w:rFonts w:cs="TimesNewRoman"/>
          <w:sz w:val="24"/>
          <w:szCs w:val="24"/>
        </w:rPr>
        <w:t>Identified risks are analyzed in order to form a basis for</w:t>
      </w:r>
      <w:r w:rsidR="002A2A64" w:rsidRPr="002A2A64">
        <w:rPr>
          <w:rFonts w:cs="TimesNewRoman"/>
          <w:sz w:val="24"/>
          <w:szCs w:val="24"/>
        </w:rPr>
        <w:t xml:space="preserve"> </w:t>
      </w:r>
      <w:r w:rsidR="005414B3" w:rsidRPr="002A2A64">
        <w:rPr>
          <w:rFonts w:cs="TimesNewRoman"/>
          <w:sz w:val="24"/>
          <w:szCs w:val="24"/>
        </w:rPr>
        <w:t xml:space="preserve">determining how they should be managed. Risks are associated with objectives </w:t>
      </w:r>
      <w:r w:rsidR="003375F4" w:rsidRPr="002A2A64">
        <w:rPr>
          <w:rFonts w:cs="TimesNewRoman"/>
          <w:sz w:val="24"/>
          <w:szCs w:val="24"/>
        </w:rPr>
        <w:t>that may</w:t>
      </w:r>
      <w:r w:rsidR="005414B3" w:rsidRPr="002A2A64">
        <w:rPr>
          <w:rFonts w:cs="TimesNewRoman"/>
          <w:sz w:val="24"/>
          <w:szCs w:val="24"/>
        </w:rPr>
        <w:t xml:space="preserve"> be affected. Risks are assessed on both an inherent and a residual basis, with the</w:t>
      </w:r>
      <w:r w:rsidR="002A2A64">
        <w:rPr>
          <w:rFonts w:cs="TimesNewRoman"/>
          <w:sz w:val="24"/>
          <w:szCs w:val="24"/>
        </w:rPr>
        <w:t xml:space="preserve"> </w:t>
      </w:r>
      <w:r w:rsidR="005414B3" w:rsidRPr="002A2A64">
        <w:rPr>
          <w:rFonts w:cs="TimesNewRoman"/>
          <w:sz w:val="24"/>
          <w:szCs w:val="24"/>
        </w:rPr>
        <w:t>assessment considering both risk likelihood and impact.</w:t>
      </w:r>
    </w:p>
    <w:p w:rsidR="00894132" w:rsidRPr="00746AD9" w:rsidRDefault="00894132" w:rsidP="009474E5">
      <w:pPr>
        <w:autoSpaceDE w:val="0"/>
        <w:autoSpaceDN w:val="0"/>
        <w:adjustRightInd w:val="0"/>
        <w:spacing w:after="0"/>
        <w:ind w:left="720"/>
        <w:rPr>
          <w:rFonts w:cs="TimesNewRoman"/>
          <w:sz w:val="24"/>
          <w:szCs w:val="24"/>
        </w:rPr>
      </w:pPr>
    </w:p>
    <w:p w:rsidR="005414B3" w:rsidRPr="002A2A64" w:rsidRDefault="00865F1E" w:rsidP="009474E5">
      <w:pPr>
        <w:pStyle w:val="ListParagraph"/>
        <w:numPr>
          <w:ilvl w:val="0"/>
          <w:numId w:val="14"/>
        </w:numPr>
        <w:autoSpaceDE w:val="0"/>
        <w:autoSpaceDN w:val="0"/>
        <w:adjustRightInd w:val="0"/>
        <w:spacing w:after="0"/>
        <w:rPr>
          <w:rFonts w:cs="TimesNewRoman"/>
          <w:sz w:val="24"/>
          <w:szCs w:val="24"/>
        </w:rPr>
      </w:pPr>
      <w:r w:rsidRPr="002A2A64">
        <w:rPr>
          <w:b/>
          <w:sz w:val="24"/>
          <w:szCs w:val="24"/>
        </w:rPr>
        <w:t>Risk response</w:t>
      </w:r>
      <w:r w:rsidRPr="002A2A64">
        <w:rPr>
          <w:sz w:val="24"/>
          <w:szCs w:val="24"/>
        </w:rPr>
        <w:t xml:space="preserve"> – </w:t>
      </w:r>
      <w:r w:rsidR="005414B3" w:rsidRPr="002A2A64">
        <w:rPr>
          <w:rFonts w:cs="TimesNewRoman"/>
          <w:sz w:val="24"/>
          <w:szCs w:val="24"/>
        </w:rPr>
        <w:t>Personnel identify and evaluate possible responses to risks, which</w:t>
      </w:r>
      <w:r w:rsidR="002A2A64" w:rsidRPr="002A2A64">
        <w:rPr>
          <w:rFonts w:cs="TimesNewRoman"/>
          <w:sz w:val="24"/>
          <w:szCs w:val="24"/>
        </w:rPr>
        <w:t xml:space="preserve"> </w:t>
      </w:r>
      <w:r w:rsidR="005414B3" w:rsidRPr="002A2A64">
        <w:rPr>
          <w:rFonts w:cs="TimesNewRoman"/>
          <w:sz w:val="24"/>
          <w:szCs w:val="24"/>
        </w:rPr>
        <w:t>include avoiding, accepting, reducing, and sharing risk. Management selects a set of</w:t>
      </w:r>
      <w:r w:rsidR="002A2A64">
        <w:rPr>
          <w:rFonts w:cs="TimesNewRoman"/>
          <w:sz w:val="24"/>
          <w:szCs w:val="24"/>
        </w:rPr>
        <w:t xml:space="preserve"> </w:t>
      </w:r>
      <w:r w:rsidR="005414B3" w:rsidRPr="002A2A64">
        <w:rPr>
          <w:rFonts w:cs="TimesNewRoman"/>
          <w:sz w:val="24"/>
          <w:szCs w:val="24"/>
        </w:rPr>
        <w:t>actions to align risks with the entity’s risk tolerances and risk appetite.</w:t>
      </w:r>
    </w:p>
    <w:p w:rsidR="00894132" w:rsidRPr="00746AD9" w:rsidRDefault="00894132" w:rsidP="009474E5">
      <w:pPr>
        <w:autoSpaceDE w:val="0"/>
        <w:autoSpaceDN w:val="0"/>
        <w:adjustRightInd w:val="0"/>
        <w:spacing w:after="0"/>
        <w:ind w:left="720"/>
        <w:rPr>
          <w:rFonts w:cs="TimesNewRoman"/>
          <w:sz w:val="24"/>
          <w:szCs w:val="24"/>
        </w:rPr>
      </w:pPr>
    </w:p>
    <w:p w:rsidR="005414B3" w:rsidRPr="002A2A64" w:rsidRDefault="00796A03" w:rsidP="009474E5">
      <w:pPr>
        <w:pStyle w:val="ListParagraph"/>
        <w:numPr>
          <w:ilvl w:val="0"/>
          <w:numId w:val="14"/>
        </w:numPr>
        <w:autoSpaceDE w:val="0"/>
        <w:autoSpaceDN w:val="0"/>
        <w:adjustRightInd w:val="0"/>
        <w:spacing w:after="0"/>
        <w:rPr>
          <w:rFonts w:cs="TimesNewRoman"/>
          <w:sz w:val="24"/>
          <w:szCs w:val="24"/>
        </w:rPr>
      </w:pPr>
      <w:r w:rsidRPr="002A2A64">
        <w:rPr>
          <w:b/>
          <w:sz w:val="24"/>
          <w:szCs w:val="24"/>
        </w:rPr>
        <w:t>Control activities</w:t>
      </w:r>
      <w:r w:rsidRPr="002A2A64">
        <w:rPr>
          <w:sz w:val="24"/>
          <w:szCs w:val="24"/>
        </w:rPr>
        <w:t xml:space="preserve"> – </w:t>
      </w:r>
      <w:r w:rsidR="005414B3" w:rsidRPr="002A2A64">
        <w:rPr>
          <w:rFonts w:cs="TimesNewRoman"/>
          <w:sz w:val="24"/>
          <w:szCs w:val="24"/>
        </w:rPr>
        <w:t>Policies and procedures are established and executed to help</w:t>
      </w:r>
      <w:r w:rsidR="002A2A64">
        <w:rPr>
          <w:rFonts w:cs="TimesNewRoman"/>
          <w:sz w:val="24"/>
          <w:szCs w:val="24"/>
        </w:rPr>
        <w:t xml:space="preserve"> </w:t>
      </w:r>
      <w:r w:rsidR="005414B3" w:rsidRPr="002A2A64">
        <w:rPr>
          <w:rFonts w:cs="TimesNewRoman"/>
          <w:sz w:val="24"/>
          <w:szCs w:val="24"/>
        </w:rPr>
        <w:t>ensure the risk responses management selects are effectively carried out.</w:t>
      </w:r>
    </w:p>
    <w:p w:rsidR="00894132" w:rsidRPr="00746AD9" w:rsidRDefault="00894132" w:rsidP="009474E5">
      <w:pPr>
        <w:autoSpaceDE w:val="0"/>
        <w:autoSpaceDN w:val="0"/>
        <w:adjustRightInd w:val="0"/>
        <w:spacing w:after="0"/>
        <w:ind w:left="720"/>
        <w:rPr>
          <w:rFonts w:cs="TimesNewRoman"/>
          <w:sz w:val="24"/>
          <w:szCs w:val="24"/>
        </w:rPr>
      </w:pPr>
    </w:p>
    <w:p w:rsidR="005414B3" w:rsidRPr="002A2A64" w:rsidRDefault="00796A03" w:rsidP="009474E5">
      <w:pPr>
        <w:pStyle w:val="ListParagraph"/>
        <w:numPr>
          <w:ilvl w:val="0"/>
          <w:numId w:val="14"/>
        </w:numPr>
        <w:autoSpaceDE w:val="0"/>
        <w:autoSpaceDN w:val="0"/>
        <w:adjustRightInd w:val="0"/>
        <w:spacing w:after="0"/>
        <w:rPr>
          <w:rFonts w:cs="TimesNewRoman"/>
          <w:sz w:val="24"/>
          <w:szCs w:val="24"/>
        </w:rPr>
      </w:pPr>
      <w:r w:rsidRPr="002A2A64">
        <w:rPr>
          <w:b/>
          <w:sz w:val="24"/>
          <w:szCs w:val="24"/>
        </w:rPr>
        <w:t xml:space="preserve">Information and communication – </w:t>
      </w:r>
      <w:r w:rsidR="005414B3" w:rsidRPr="002A2A64">
        <w:rPr>
          <w:rFonts w:cs="TimesNewRoman"/>
          <w:sz w:val="24"/>
          <w:szCs w:val="24"/>
        </w:rPr>
        <w:t>Relevant information is identified, captured, and</w:t>
      </w:r>
      <w:r w:rsidR="002A2A64" w:rsidRPr="002A2A64">
        <w:rPr>
          <w:rFonts w:cs="TimesNewRoman"/>
          <w:sz w:val="24"/>
          <w:szCs w:val="24"/>
        </w:rPr>
        <w:t xml:space="preserve"> </w:t>
      </w:r>
      <w:r w:rsidR="005414B3" w:rsidRPr="002A2A64">
        <w:rPr>
          <w:rFonts w:cs="TimesNewRoman"/>
          <w:sz w:val="24"/>
          <w:szCs w:val="24"/>
        </w:rPr>
        <w:t>communicated in a form and timeframe that enable people to carry out their</w:t>
      </w:r>
      <w:r w:rsidR="002A2A64" w:rsidRPr="002A2A64">
        <w:rPr>
          <w:rFonts w:cs="TimesNewRoman"/>
          <w:sz w:val="24"/>
          <w:szCs w:val="24"/>
        </w:rPr>
        <w:t xml:space="preserve"> </w:t>
      </w:r>
      <w:r w:rsidR="005414B3" w:rsidRPr="002A2A64">
        <w:rPr>
          <w:rFonts w:cs="TimesNewRoman"/>
          <w:sz w:val="24"/>
          <w:szCs w:val="24"/>
        </w:rPr>
        <w:t>responsibilities. Information is needed at all levels of an entity for identifying,</w:t>
      </w:r>
      <w:r w:rsidR="002A2A64" w:rsidRPr="002A2A64">
        <w:rPr>
          <w:rFonts w:cs="TimesNewRoman"/>
          <w:sz w:val="24"/>
          <w:szCs w:val="24"/>
        </w:rPr>
        <w:t xml:space="preserve"> </w:t>
      </w:r>
      <w:r w:rsidR="005414B3" w:rsidRPr="002A2A64">
        <w:rPr>
          <w:rFonts w:cs="TimesNewRoman"/>
          <w:sz w:val="24"/>
          <w:szCs w:val="24"/>
        </w:rPr>
        <w:t>assessing, and responding to risk. Effective communication also occurs in a broader</w:t>
      </w:r>
      <w:r w:rsidR="002A2A64" w:rsidRPr="002A2A64">
        <w:rPr>
          <w:rFonts w:cs="TimesNewRoman"/>
          <w:sz w:val="24"/>
          <w:szCs w:val="24"/>
        </w:rPr>
        <w:t xml:space="preserve"> </w:t>
      </w:r>
      <w:r w:rsidR="005414B3" w:rsidRPr="002A2A64">
        <w:rPr>
          <w:rFonts w:cs="TimesNewRoman"/>
          <w:sz w:val="24"/>
          <w:szCs w:val="24"/>
        </w:rPr>
        <w:t>sense, flowing down, across, and up the entity. Personnel receive clear</w:t>
      </w:r>
      <w:r w:rsidR="002A2A64">
        <w:rPr>
          <w:rFonts w:cs="TimesNewRoman"/>
          <w:sz w:val="24"/>
          <w:szCs w:val="24"/>
        </w:rPr>
        <w:t xml:space="preserve"> </w:t>
      </w:r>
      <w:r w:rsidR="005414B3" w:rsidRPr="002A2A64">
        <w:rPr>
          <w:rFonts w:cs="TimesNewRoman"/>
          <w:sz w:val="24"/>
          <w:szCs w:val="24"/>
        </w:rPr>
        <w:t>communications regarding their role and responsibilities.</w:t>
      </w:r>
    </w:p>
    <w:p w:rsidR="00894132" w:rsidRPr="00746AD9" w:rsidRDefault="00894132" w:rsidP="009474E5">
      <w:pPr>
        <w:autoSpaceDE w:val="0"/>
        <w:autoSpaceDN w:val="0"/>
        <w:adjustRightInd w:val="0"/>
        <w:spacing w:after="0"/>
        <w:ind w:left="720"/>
        <w:rPr>
          <w:rFonts w:cs="TimesNewRoman"/>
          <w:sz w:val="24"/>
          <w:szCs w:val="24"/>
        </w:rPr>
      </w:pPr>
    </w:p>
    <w:p w:rsidR="005414B3" w:rsidRPr="009E64DF" w:rsidRDefault="00796A03" w:rsidP="009474E5">
      <w:pPr>
        <w:pStyle w:val="ListParagraph"/>
        <w:numPr>
          <w:ilvl w:val="0"/>
          <w:numId w:val="14"/>
        </w:numPr>
        <w:autoSpaceDE w:val="0"/>
        <w:autoSpaceDN w:val="0"/>
        <w:adjustRightInd w:val="0"/>
        <w:spacing w:after="120"/>
        <w:rPr>
          <w:sz w:val="24"/>
          <w:szCs w:val="24"/>
        </w:rPr>
      </w:pPr>
      <w:r w:rsidRPr="002A2A64">
        <w:rPr>
          <w:b/>
          <w:sz w:val="24"/>
          <w:szCs w:val="24"/>
        </w:rPr>
        <w:lastRenderedPageBreak/>
        <w:t>Monitoring</w:t>
      </w:r>
      <w:r w:rsidRPr="002A2A64">
        <w:rPr>
          <w:sz w:val="24"/>
          <w:szCs w:val="24"/>
        </w:rPr>
        <w:t xml:space="preserve"> - </w:t>
      </w:r>
      <w:r w:rsidR="005414B3" w:rsidRPr="002A2A64">
        <w:rPr>
          <w:rFonts w:cs="TimesNewRoman"/>
          <w:sz w:val="24"/>
          <w:szCs w:val="24"/>
        </w:rPr>
        <w:t>The entirety of enterprise risk management is monitored, and</w:t>
      </w:r>
      <w:r w:rsidR="002A2A64" w:rsidRPr="002A2A64">
        <w:rPr>
          <w:rFonts w:cs="TimesNewRoman"/>
          <w:sz w:val="24"/>
          <w:szCs w:val="24"/>
        </w:rPr>
        <w:t xml:space="preserve"> </w:t>
      </w:r>
      <w:r w:rsidR="005414B3" w:rsidRPr="002A2A64">
        <w:rPr>
          <w:rFonts w:cs="TimesNewRoman"/>
          <w:sz w:val="24"/>
          <w:szCs w:val="24"/>
        </w:rPr>
        <w:t>modifications made as necessary. In this way, it can react dynamically, changing as</w:t>
      </w:r>
      <w:r w:rsidR="002A2A64" w:rsidRPr="002A2A64">
        <w:rPr>
          <w:rFonts w:cs="TimesNewRoman"/>
          <w:sz w:val="24"/>
          <w:szCs w:val="24"/>
        </w:rPr>
        <w:t xml:space="preserve"> </w:t>
      </w:r>
      <w:r w:rsidR="005414B3" w:rsidRPr="002A2A64">
        <w:rPr>
          <w:rFonts w:cs="TimesNewRoman"/>
          <w:sz w:val="24"/>
          <w:szCs w:val="24"/>
        </w:rPr>
        <w:t>conditions warrant. Monitoring is accomplished through ongoing management</w:t>
      </w:r>
      <w:r w:rsidR="002A2A64" w:rsidRPr="002A2A64">
        <w:rPr>
          <w:rFonts w:cs="TimesNewRoman"/>
          <w:sz w:val="24"/>
          <w:szCs w:val="24"/>
        </w:rPr>
        <w:t xml:space="preserve"> </w:t>
      </w:r>
      <w:r w:rsidR="005414B3" w:rsidRPr="002A2A64">
        <w:rPr>
          <w:rFonts w:cs="TimesNewRoman"/>
          <w:sz w:val="24"/>
          <w:szCs w:val="24"/>
        </w:rPr>
        <w:t>activities, separate evaluations of enterprise risk management, or a combination of the</w:t>
      </w:r>
      <w:r w:rsidR="002A2A64">
        <w:rPr>
          <w:rFonts w:cs="TimesNewRoman"/>
          <w:sz w:val="24"/>
          <w:szCs w:val="24"/>
        </w:rPr>
        <w:t xml:space="preserve"> </w:t>
      </w:r>
      <w:r w:rsidR="005414B3" w:rsidRPr="002A2A64">
        <w:rPr>
          <w:rFonts w:cs="TimesNewRoman"/>
          <w:sz w:val="24"/>
          <w:szCs w:val="24"/>
        </w:rPr>
        <w:t>two.</w:t>
      </w:r>
    </w:p>
    <w:p w:rsidR="009E64DF" w:rsidRPr="002A2A64" w:rsidRDefault="009E64DF" w:rsidP="009474E5">
      <w:pPr>
        <w:pStyle w:val="ListParagraph"/>
        <w:autoSpaceDE w:val="0"/>
        <w:autoSpaceDN w:val="0"/>
        <w:adjustRightInd w:val="0"/>
        <w:spacing w:after="120"/>
        <w:rPr>
          <w:sz w:val="24"/>
          <w:szCs w:val="24"/>
        </w:rPr>
      </w:pPr>
    </w:p>
    <w:p w:rsidR="00796A03" w:rsidRPr="00746AD9" w:rsidRDefault="00503DE2" w:rsidP="009474E5">
      <w:pPr>
        <w:pStyle w:val="ListParagraph"/>
        <w:numPr>
          <w:ilvl w:val="0"/>
          <w:numId w:val="16"/>
        </w:numPr>
        <w:ind w:left="360"/>
        <w:rPr>
          <w:sz w:val="24"/>
          <w:szCs w:val="24"/>
          <w:u w:val="single"/>
        </w:rPr>
      </w:pPr>
      <w:r w:rsidRPr="00746AD9">
        <w:rPr>
          <w:sz w:val="24"/>
          <w:szCs w:val="24"/>
          <w:u w:val="single"/>
        </w:rPr>
        <w:t>Goals of Enterprise Risk Management</w:t>
      </w:r>
    </w:p>
    <w:p w:rsidR="00216CC9" w:rsidRPr="00746AD9" w:rsidRDefault="00216CC9" w:rsidP="009474E5">
      <w:pPr>
        <w:pStyle w:val="ListParagraph"/>
        <w:ind w:left="360"/>
        <w:rPr>
          <w:sz w:val="24"/>
          <w:szCs w:val="24"/>
        </w:rPr>
      </w:pPr>
    </w:p>
    <w:p w:rsidR="00DB50BB" w:rsidRPr="00746AD9" w:rsidRDefault="00466F29" w:rsidP="009474E5">
      <w:pPr>
        <w:pStyle w:val="ListParagraph"/>
        <w:ind w:left="360"/>
        <w:rPr>
          <w:sz w:val="24"/>
          <w:szCs w:val="24"/>
        </w:rPr>
      </w:pPr>
      <w:r w:rsidRPr="00746AD9">
        <w:rPr>
          <w:sz w:val="24"/>
          <w:szCs w:val="24"/>
        </w:rPr>
        <w:t xml:space="preserve">Simply put, enterprise risk management provides a framework for minimizing risk across an institution while maximizing opportunities.  We have been used to managing risks in silos when, in reality, most risks overlap.   The enterprise risk management framework supplies a holistic approach to managing risks </w:t>
      </w:r>
      <w:r w:rsidR="00586D69" w:rsidRPr="00746AD9">
        <w:rPr>
          <w:sz w:val="24"/>
          <w:szCs w:val="24"/>
        </w:rPr>
        <w:t xml:space="preserve">which provides a clearer picture to administrators resulting in </w:t>
      </w:r>
      <w:r w:rsidRPr="00746AD9">
        <w:rPr>
          <w:sz w:val="24"/>
          <w:szCs w:val="24"/>
        </w:rPr>
        <w:t>better decision making in the strategic planning process.</w:t>
      </w:r>
      <w:r w:rsidR="00DB50BB" w:rsidRPr="00746AD9">
        <w:rPr>
          <w:sz w:val="24"/>
          <w:szCs w:val="24"/>
        </w:rPr>
        <w:t xml:space="preserve">  Risk management should become part of the university’s culture rather than being viewed as an activity for which only a select few individuals are responsible.  It should be embedded into the philosophy, practices, and process</w:t>
      </w:r>
      <w:r w:rsidR="00851F6C" w:rsidRPr="00746AD9">
        <w:rPr>
          <w:sz w:val="24"/>
          <w:szCs w:val="24"/>
        </w:rPr>
        <w:t>es</w:t>
      </w:r>
      <w:r w:rsidR="00DB50BB" w:rsidRPr="00746AD9">
        <w:rPr>
          <w:sz w:val="24"/>
          <w:szCs w:val="24"/>
        </w:rPr>
        <w:t xml:space="preserve"> of all university administrators.</w:t>
      </w:r>
    </w:p>
    <w:p w:rsidR="00DB50BB" w:rsidRPr="00746AD9" w:rsidRDefault="00DB50BB" w:rsidP="009474E5">
      <w:pPr>
        <w:pStyle w:val="ListParagraph"/>
        <w:ind w:left="360"/>
        <w:rPr>
          <w:sz w:val="24"/>
          <w:szCs w:val="24"/>
        </w:rPr>
      </w:pPr>
    </w:p>
    <w:sectPr w:rsidR="00DB50BB" w:rsidRPr="00746AD9" w:rsidSect="00894132">
      <w:headerReference w:type="default" r:id="rId8"/>
      <w:footerReference w:type="default" r:id="rId9"/>
      <w:endnotePr>
        <w:numFmt w:val="decimal"/>
      </w:endnotePr>
      <w:type w:val="continuous"/>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5B8" w:rsidRDefault="007865B8" w:rsidP="00A57851">
      <w:pPr>
        <w:spacing w:after="0" w:line="240" w:lineRule="auto"/>
      </w:pPr>
      <w:r>
        <w:separator/>
      </w:r>
    </w:p>
  </w:endnote>
  <w:endnote w:type="continuationSeparator" w:id="0">
    <w:p w:rsidR="007865B8" w:rsidRDefault="007865B8" w:rsidP="00A57851">
      <w:pPr>
        <w:spacing w:after="0" w:line="240" w:lineRule="auto"/>
      </w:pPr>
      <w:r>
        <w:continuationSeparator/>
      </w:r>
    </w:p>
  </w:endnote>
  <w:endnote w:id="1">
    <w:p w:rsidR="007865B8" w:rsidRDefault="007865B8">
      <w:pPr>
        <w:pStyle w:val="EndnoteText"/>
      </w:pPr>
      <w:r>
        <w:rPr>
          <w:rStyle w:val="EndnoteReference"/>
        </w:rPr>
        <w:endnoteRef/>
      </w:r>
      <w:r>
        <w:t xml:space="preserve"> Austin Community College District – 2008 ‘Introduction to Risk Management, Office of Internal Audit’</w:t>
      </w:r>
    </w:p>
  </w:endnote>
  <w:endnote w:id="2">
    <w:p w:rsidR="007865B8" w:rsidRDefault="007865B8">
      <w:pPr>
        <w:pStyle w:val="EndnoteText"/>
      </w:pPr>
      <w:r>
        <w:rPr>
          <w:rStyle w:val="EndnoteReference"/>
        </w:rPr>
        <w:endnoteRef/>
      </w:r>
      <w:r>
        <w:t xml:space="preserve"> Internal Control – Integrated Framework, The Committee of Sponsoring Organizations of the Treadway Commission.</w:t>
      </w:r>
    </w:p>
  </w:endnote>
  <w:endnote w:id="3">
    <w:p w:rsidR="007865B8" w:rsidRDefault="007865B8" w:rsidP="003375F4">
      <w:pPr>
        <w:pStyle w:val="EndnoteText"/>
        <w:ind w:left="90" w:hanging="90"/>
      </w:pPr>
      <w:r>
        <w:rPr>
          <w:rStyle w:val="EndnoteReference"/>
        </w:rPr>
        <w:endnoteRef/>
      </w:r>
      <w:r>
        <w:t xml:space="preserve"> Enterprise Risk Management – Integrated Framework, </w:t>
      </w:r>
      <w:proofErr w:type="gramStart"/>
      <w:r>
        <w:t>The</w:t>
      </w:r>
      <w:proofErr w:type="gramEnd"/>
      <w:r>
        <w:t xml:space="preserve"> Committee of Sponsoring Organizations of the Treadway </w:t>
      </w:r>
      <w:r w:rsidR="003375F4">
        <w:t xml:space="preserve">   </w:t>
      </w:r>
      <w:r>
        <w:t>Commission.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B8" w:rsidRDefault="007865B8">
    <w:pPr>
      <w:pStyle w:val="Footer"/>
    </w:pPr>
    <w:r>
      <w:tab/>
    </w:r>
    <w:r>
      <w:rPr>
        <w:color w:val="7F7F7F" w:themeColor="background1" w:themeShade="7F"/>
        <w:spacing w:val="60"/>
      </w:rPr>
      <w:t>Page</w:t>
    </w:r>
    <w:r>
      <w:t xml:space="preserve"> | </w:t>
    </w:r>
    <w:r w:rsidR="00A649D9">
      <w:fldChar w:fldCharType="begin"/>
    </w:r>
    <w:r w:rsidR="00225622">
      <w:instrText xml:space="preserve"> PAGE   \* MERGEFORMAT </w:instrText>
    </w:r>
    <w:r w:rsidR="00A649D9">
      <w:fldChar w:fldCharType="separate"/>
    </w:r>
    <w:r w:rsidR="00D812E7" w:rsidRPr="00D812E7">
      <w:rPr>
        <w:b/>
        <w:noProof/>
      </w:rPr>
      <w:t>1</w:t>
    </w:r>
    <w:r w:rsidR="00A649D9">
      <w:fldChar w:fldCharType="end"/>
    </w:r>
  </w:p>
  <w:p w:rsidR="00225622" w:rsidRDefault="00225622"/>
  <w:p w:rsidR="00225622" w:rsidRDefault="002256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5B8" w:rsidRDefault="007865B8" w:rsidP="00A57851">
      <w:pPr>
        <w:spacing w:after="0" w:line="240" w:lineRule="auto"/>
      </w:pPr>
      <w:r>
        <w:separator/>
      </w:r>
    </w:p>
  </w:footnote>
  <w:footnote w:type="continuationSeparator" w:id="0">
    <w:p w:rsidR="007865B8" w:rsidRDefault="007865B8" w:rsidP="00A578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B8" w:rsidRDefault="007865B8" w:rsidP="00A57851">
    <w:pPr>
      <w:pStyle w:val="Header"/>
      <w:jc w:val="center"/>
      <w:rPr>
        <w:b/>
      </w:rPr>
    </w:pPr>
    <w:r>
      <w:rPr>
        <w:noProof/>
      </w:rPr>
      <w:drawing>
        <wp:inline distT="0" distB="0" distL="0" distR="0">
          <wp:extent cx="733425" cy="538075"/>
          <wp:effectExtent l="19050" t="0" r="0" b="0"/>
          <wp:docPr id="1" name="Picture 1" descr="UA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_Logo_color"/>
                  <pic:cNvPicPr>
                    <a:picLocks noChangeAspect="1" noChangeArrowheads="1"/>
                  </pic:cNvPicPr>
                </pic:nvPicPr>
                <pic:blipFill>
                  <a:blip r:embed="rId1"/>
                  <a:srcRect/>
                  <a:stretch>
                    <a:fillRect/>
                  </a:stretch>
                </pic:blipFill>
                <pic:spPr bwMode="auto">
                  <a:xfrm>
                    <a:off x="0" y="0"/>
                    <a:ext cx="733615" cy="538215"/>
                  </a:xfrm>
                  <a:prstGeom prst="rect">
                    <a:avLst/>
                  </a:prstGeom>
                  <a:noFill/>
                  <a:ln w="9525">
                    <a:noFill/>
                    <a:miter lim="800000"/>
                    <a:headEnd/>
                    <a:tailEnd/>
                  </a:ln>
                </pic:spPr>
              </pic:pic>
            </a:graphicData>
          </a:graphic>
        </wp:inline>
      </w:drawing>
    </w:r>
  </w:p>
  <w:p w:rsidR="007865B8" w:rsidRPr="00746AD9" w:rsidRDefault="007865B8" w:rsidP="00A57851">
    <w:pPr>
      <w:pStyle w:val="Header"/>
      <w:jc w:val="center"/>
      <w:rPr>
        <w:b/>
        <w:sz w:val="28"/>
        <w:szCs w:val="28"/>
      </w:rPr>
    </w:pPr>
    <w:r w:rsidRPr="00746AD9">
      <w:rPr>
        <w:b/>
        <w:sz w:val="28"/>
        <w:szCs w:val="28"/>
      </w:rPr>
      <w:t>Achieving Vision Through Enterprise Risk Management</w:t>
    </w:r>
  </w:p>
  <w:p w:rsidR="007865B8" w:rsidRPr="00746AD9" w:rsidRDefault="007865B8" w:rsidP="00A57851">
    <w:pPr>
      <w:pStyle w:val="Header"/>
      <w:jc w:val="center"/>
      <w:rPr>
        <w:b/>
        <w:sz w:val="28"/>
        <w:szCs w:val="28"/>
      </w:rPr>
    </w:pPr>
    <w:r w:rsidRPr="00746AD9">
      <w:rPr>
        <w:b/>
        <w:sz w:val="28"/>
        <w:szCs w:val="28"/>
      </w:rPr>
      <w:t>An Overview</w:t>
    </w:r>
  </w:p>
  <w:p w:rsidR="007865B8" w:rsidRPr="00A57851" w:rsidRDefault="007865B8" w:rsidP="00A57851">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89A"/>
    <w:multiLevelType w:val="hybridMultilevel"/>
    <w:tmpl w:val="14C89A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D65E0"/>
    <w:multiLevelType w:val="hybridMultilevel"/>
    <w:tmpl w:val="1F12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06BC8"/>
    <w:multiLevelType w:val="hybridMultilevel"/>
    <w:tmpl w:val="6CBE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6020D4"/>
    <w:multiLevelType w:val="hybridMultilevel"/>
    <w:tmpl w:val="1C12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C32DA"/>
    <w:multiLevelType w:val="hybridMultilevel"/>
    <w:tmpl w:val="4BA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930FB"/>
    <w:multiLevelType w:val="hybridMultilevel"/>
    <w:tmpl w:val="8182E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30CD4"/>
    <w:multiLevelType w:val="multilevel"/>
    <w:tmpl w:val="9E441A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4BF24AC3"/>
    <w:multiLevelType w:val="hybridMultilevel"/>
    <w:tmpl w:val="B5564C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E521AB"/>
    <w:multiLevelType w:val="multilevel"/>
    <w:tmpl w:val="9E441A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528C7E9C"/>
    <w:multiLevelType w:val="hybridMultilevel"/>
    <w:tmpl w:val="7E340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001AF"/>
    <w:multiLevelType w:val="hybridMultilevel"/>
    <w:tmpl w:val="AAAC37AE"/>
    <w:lvl w:ilvl="0" w:tplc="F21CD5C6">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6691A"/>
    <w:multiLevelType w:val="hybridMultilevel"/>
    <w:tmpl w:val="A1467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43E19"/>
    <w:multiLevelType w:val="hybridMultilevel"/>
    <w:tmpl w:val="2182FE28"/>
    <w:lvl w:ilvl="0" w:tplc="D8DC07AE">
      <w:start w:val="1"/>
      <w:numFmt w:val="bullet"/>
      <w:lvlText w:val=""/>
      <w:lvlJc w:val="left"/>
      <w:pPr>
        <w:tabs>
          <w:tab w:val="num" w:pos="720"/>
        </w:tabs>
        <w:ind w:left="720" w:hanging="360"/>
      </w:pPr>
      <w:rPr>
        <w:rFonts w:ascii="Wingdings 2" w:hAnsi="Wingdings 2" w:hint="default"/>
      </w:rPr>
    </w:lvl>
    <w:lvl w:ilvl="1" w:tplc="129C5BDC" w:tentative="1">
      <w:start w:val="1"/>
      <w:numFmt w:val="bullet"/>
      <w:lvlText w:val=""/>
      <w:lvlJc w:val="left"/>
      <w:pPr>
        <w:tabs>
          <w:tab w:val="num" w:pos="1440"/>
        </w:tabs>
        <w:ind w:left="1440" w:hanging="360"/>
      </w:pPr>
      <w:rPr>
        <w:rFonts w:ascii="Wingdings 2" w:hAnsi="Wingdings 2" w:hint="default"/>
      </w:rPr>
    </w:lvl>
    <w:lvl w:ilvl="2" w:tplc="98D83D50" w:tentative="1">
      <w:start w:val="1"/>
      <w:numFmt w:val="bullet"/>
      <w:lvlText w:val=""/>
      <w:lvlJc w:val="left"/>
      <w:pPr>
        <w:tabs>
          <w:tab w:val="num" w:pos="2160"/>
        </w:tabs>
        <w:ind w:left="2160" w:hanging="360"/>
      </w:pPr>
      <w:rPr>
        <w:rFonts w:ascii="Wingdings 2" w:hAnsi="Wingdings 2" w:hint="default"/>
      </w:rPr>
    </w:lvl>
    <w:lvl w:ilvl="3" w:tplc="B8808EDC" w:tentative="1">
      <w:start w:val="1"/>
      <w:numFmt w:val="bullet"/>
      <w:lvlText w:val=""/>
      <w:lvlJc w:val="left"/>
      <w:pPr>
        <w:tabs>
          <w:tab w:val="num" w:pos="2880"/>
        </w:tabs>
        <w:ind w:left="2880" w:hanging="360"/>
      </w:pPr>
      <w:rPr>
        <w:rFonts w:ascii="Wingdings 2" w:hAnsi="Wingdings 2" w:hint="default"/>
      </w:rPr>
    </w:lvl>
    <w:lvl w:ilvl="4" w:tplc="FB8A8518" w:tentative="1">
      <w:start w:val="1"/>
      <w:numFmt w:val="bullet"/>
      <w:lvlText w:val=""/>
      <w:lvlJc w:val="left"/>
      <w:pPr>
        <w:tabs>
          <w:tab w:val="num" w:pos="3600"/>
        </w:tabs>
        <w:ind w:left="3600" w:hanging="360"/>
      </w:pPr>
      <w:rPr>
        <w:rFonts w:ascii="Wingdings 2" w:hAnsi="Wingdings 2" w:hint="default"/>
      </w:rPr>
    </w:lvl>
    <w:lvl w:ilvl="5" w:tplc="8996E50A" w:tentative="1">
      <w:start w:val="1"/>
      <w:numFmt w:val="bullet"/>
      <w:lvlText w:val=""/>
      <w:lvlJc w:val="left"/>
      <w:pPr>
        <w:tabs>
          <w:tab w:val="num" w:pos="4320"/>
        </w:tabs>
        <w:ind w:left="4320" w:hanging="360"/>
      </w:pPr>
      <w:rPr>
        <w:rFonts w:ascii="Wingdings 2" w:hAnsi="Wingdings 2" w:hint="default"/>
      </w:rPr>
    </w:lvl>
    <w:lvl w:ilvl="6" w:tplc="6008A3FC" w:tentative="1">
      <w:start w:val="1"/>
      <w:numFmt w:val="bullet"/>
      <w:lvlText w:val=""/>
      <w:lvlJc w:val="left"/>
      <w:pPr>
        <w:tabs>
          <w:tab w:val="num" w:pos="5040"/>
        </w:tabs>
        <w:ind w:left="5040" w:hanging="360"/>
      </w:pPr>
      <w:rPr>
        <w:rFonts w:ascii="Wingdings 2" w:hAnsi="Wingdings 2" w:hint="default"/>
      </w:rPr>
    </w:lvl>
    <w:lvl w:ilvl="7" w:tplc="A4BC45DE" w:tentative="1">
      <w:start w:val="1"/>
      <w:numFmt w:val="bullet"/>
      <w:lvlText w:val=""/>
      <w:lvlJc w:val="left"/>
      <w:pPr>
        <w:tabs>
          <w:tab w:val="num" w:pos="5760"/>
        </w:tabs>
        <w:ind w:left="5760" w:hanging="360"/>
      </w:pPr>
      <w:rPr>
        <w:rFonts w:ascii="Wingdings 2" w:hAnsi="Wingdings 2" w:hint="default"/>
      </w:rPr>
    </w:lvl>
    <w:lvl w:ilvl="8" w:tplc="E2DE210A" w:tentative="1">
      <w:start w:val="1"/>
      <w:numFmt w:val="bullet"/>
      <w:lvlText w:val=""/>
      <w:lvlJc w:val="left"/>
      <w:pPr>
        <w:tabs>
          <w:tab w:val="num" w:pos="6480"/>
        </w:tabs>
        <w:ind w:left="6480" w:hanging="360"/>
      </w:pPr>
      <w:rPr>
        <w:rFonts w:ascii="Wingdings 2" w:hAnsi="Wingdings 2" w:hint="default"/>
      </w:rPr>
    </w:lvl>
  </w:abstractNum>
  <w:abstractNum w:abstractNumId="13">
    <w:nsid w:val="709E3DA0"/>
    <w:multiLevelType w:val="multilevel"/>
    <w:tmpl w:val="9E441A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72C133DF"/>
    <w:multiLevelType w:val="hybridMultilevel"/>
    <w:tmpl w:val="51CEA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72C76"/>
    <w:multiLevelType w:val="hybridMultilevel"/>
    <w:tmpl w:val="EAB0F3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3361A9"/>
    <w:multiLevelType w:val="hybridMultilevel"/>
    <w:tmpl w:val="C87CE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A65F8A"/>
    <w:multiLevelType w:val="hybridMultilevel"/>
    <w:tmpl w:val="D4F6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7"/>
  </w:num>
  <w:num w:numId="4">
    <w:abstractNumId w:val="5"/>
  </w:num>
  <w:num w:numId="5">
    <w:abstractNumId w:val="7"/>
  </w:num>
  <w:num w:numId="6">
    <w:abstractNumId w:val="14"/>
  </w:num>
  <w:num w:numId="7">
    <w:abstractNumId w:val="1"/>
  </w:num>
  <w:num w:numId="8">
    <w:abstractNumId w:val="16"/>
  </w:num>
  <w:num w:numId="9">
    <w:abstractNumId w:val="13"/>
  </w:num>
  <w:num w:numId="10">
    <w:abstractNumId w:val="0"/>
  </w:num>
  <w:num w:numId="11">
    <w:abstractNumId w:val="8"/>
  </w:num>
  <w:num w:numId="12">
    <w:abstractNumId w:val="6"/>
  </w:num>
  <w:num w:numId="13">
    <w:abstractNumId w:val="10"/>
  </w:num>
  <w:num w:numId="14">
    <w:abstractNumId w:val="9"/>
  </w:num>
  <w:num w:numId="15">
    <w:abstractNumId w:val="2"/>
  </w:num>
  <w:num w:numId="16">
    <w:abstractNumId w:val="15"/>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rsids>
    <w:rsidRoot w:val="0027064D"/>
    <w:rsid w:val="00003F24"/>
    <w:rsid w:val="000448C3"/>
    <w:rsid w:val="00056617"/>
    <w:rsid w:val="00073F0A"/>
    <w:rsid w:val="0007696C"/>
    <w:rsid w:val="00077124"/>
    <w:rsid w:val="00086F0D"/>
    <w:rsid w:val="000A503C"/>
    <w:rsid w:val="000A6F6C"/>
    <w:rsid w:val="000F3B05"/>
    <w:rsid w:val="001076C9"/>
    <w:rsid w:val="0011231F"/>
    <w:rsid w:val="001175B3"/>
    <w:rsid w:val="00140846"/>
    <w:rsid w:val="00143EF9"/>
    <w:rsid w:val="0016531E"/>
    <w:rsid w:val="0017181B"/>
    <w:rsid w:val="001827CD"/>
    <w:rsid w:val="00185747"/>
    <w:rsid w:val="001F5095"/>
    <w:rsid w:val="0020088E"/>
    <w:rsid w:val="00216CC9"/>
    <w:rsid w:val="00225622"/>
    <w:rsid w:val="00237DB9"/>
    <w:rsid w:val="002455F8"/>
    <w:rsid w:val="002502C7"/>
    <w:rsid w:val="00252651"/>
    <w:rsid w:val="0027064D"/>
    <w:rsid w:val="00273332"/>
    <w:rsid w:val="002A2A64"/>
    <w:rsid w:val="002A47BA"/>
    <w:rsid w:val="002A4FA5"/>
    <w:rsid w:val="002D567C"/>
    <w:rsid w:val="002F0610"/>
    <w:rsid w:val="003007A8"/>
    <w:rsid w:val="003170B3"/>
    <w:rsid w:val="003227C5"/>
    <w:rsid w:val="00327D4E"/>
    <w:rsid w:val="00331E4B"/>
    <w:rsid w:val="003375F4"/>
    <w:rsid w:val="00347B79"/>
    <w:rsid w:val="003574E8"/>
    <w:rsid w:val="00364D27"/>
    <w:rsid w:val="00397332"/>
    <w:rsid w:val="003B5FFC"/>
    <w:rsid w:val="003E0685"/>
    <w:rsid w:val="003F5F1C"/>
    <w:rsid w:val="004225EE"/>
    <w:rsid w:val="00425194"/>
    <w:rsid w:val="00463CA9"/>
    <w:rsid w:val="00466F29"/>
    <w:rsid w:val="004907DB"/>
    <w:rsid w:val="00492211"/>
    <w:rsid w:val="004C20D0"/>
    <w:rsid w:val="004E0553"/>
    <w:rsid w:val="00503DE2"/>
    <w:rsid w:val="00506492"/>
    <w:rsid w:val="00516712"/>
    <w:rsid w:val="00521B93"/>
    <w:rsid w:val="0052650E"/>
    <w:rsid w:val="00536B1C"/>
    <w:rsid w:val="005414B3"/>
    <w:rsid w:val="00566AB8"/>
    <w:rsid w:val="00570535"/>
    <w:rsid w:val="00586D69"/>
    <w:rsid w:val="00601B10"/>
    <w:rsid w:val="00607335"/>
    <w:rsid w:val="006213E2"/>
    <w:rsid w:val="0062703E"/>
    <w:rsid w:val="00634D92"/>
    <w:rsid w:val="006568D9"/>
    <w:rsid w:val="00665D78"/>
    <w:rsid w:val="006F4499"/>
    <w:rsid w:val="0071471F"/>
    <w:rsid w:val="00717152"/>
    <w:rsid w:val="00736285"/>
    <w:rsid w:val="00746AD9"/>
    <w:rsid w:val="00782797"/>
    <w:rsid w:val="007865B8"/>
    <w:rsid w:val="00787970"/>
    <w:rsid w:val="00796A03"/>
    <w:rsid w:val="007977E9"/>
    <w:rsid w:val="007B568A"/>
    <w:rsid w:val="007E73AF"/>
    <w:rsid w:val="00833221"/>
    <w:rsid w:val="008508AA"/>
    <w:rsid w:val="00851F6C"/>
    <w:rsid w:val="00865F1E"/>
    <w:rsid w:val="00874515"/>
    <w:rsid w:val="00894132"/>
    <w:rsid w:val="00897DC1"/>
    <w:rsid w:val="008D7ABD"/>
    <w:rsid w:val="008E6775"/>
    <w:rsid w:val="0090052C"/>
    <w:rsid w:val="00920C63"/>
    <w:rsid w:val="009430A9"/>
    <w:rsid w:val="009474E5"/>
    <w:rsid w:val="009532CD"/>
    <w:rsid w:val="0099445D"/>
    <w:rsid w:val="009B3257"/>
    <w:rsid w:val="009E64DF"/>
    <w:rsid w:val="009E66B4"/>
    <w:rsid w:val="00A3771B"/>
    <w:rsid w:val="00A57851"/>
    <w:rsid w:val="00A649D9"/>
    <w:rsid w:val="00A80035"/>
    <w:rsid w:val="00A85686"/>
    <w:rsid w:val="00AA3E0D"/>
    <w:rsid w:val="00AA6745"/>
    <w:rsid w:val="00AD6A62"/>
    <w:rsid w:val="00AD7BDA"/>
    <w:rsid w:val="00B41053"/>
    <w:rsid w:val="00B52734"/>
    <w:rsid w:val="00B6491D"/>
    <w:rsid w:val="00BA6FED"/>
    <w:rsid w:val="00BB1143"/>
    <w:rsid w:val="00BB53BA"/>
    <w:rsid w:val="00BB5A37"/>
    <w:rsid w:val="00BD3D50"/>
    <w:rsid w:val="00BF0600"/>
    <w:rsid w:val="00C15D2C"/>
    <w:rsid w:val="00C21E49"/>
    <w:rsid w:val="00C40829"/>
    <w:rsid w:val="00C70B7F"/>
    <w:rsid w:val="00C71AE8"/>
    <w:rsid w:val="00CA3387"/>
    <w:rsid w:val="00CD3C75"/>
    <w:rsid w:val="00CF118E"/>
    <w:rsid w:val="00D1158E"/>
    <w:rsid w:val="00D31EF6"/>
    <w:rsid w:val="00D4533E"/>
    <w:rsid w:val="00D663F0"/>
    <w:rsid w:val="00D66432"/>
    <w:rsid w:val="00D812E7"/>
    <w:rsid w:val="00D917FC"/>
    <w:rsid w:val="00DA541C"/>
    <w:rsid w:val="00DB50BB"/>
    <w:rsid w:val="00DB61CF"/>
    <w:rsid w:val="00DC22EC"/>
    <w:rsid w:val="00E27132"/>
    <w:rsid w:val="00E6455E"/>
    <w:rsid w:val="00E711D7"/>
    <w:rsid w:val="00E7527D"/>
    <w:rsid w:val="00E858DC"/>
    <w:rsid w:val="00E917D3"/>
    <w:rsid w:val="00EA5B2F"/>
    <w:rsid w:val="00EA7CDB"/>
    <w:rsid w:val="00EE0711"/>
    <w:rsid w:val="00EF3B52"/>
    <w:rsid w:val="00F235F5"/>
    <w:rsid w:val="00F40713"/>
    <w:rsid w:val="00F9141A"/>
    <w:rsid w:val="00FC274F"/>
    <w:rsid w:val="00FE064A"/>
    <w:rsid w:val="00FE0D9A"/>
    <w:rsid w:val="00FE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DB9"/>
  </w:style>
  <w:style w:type="paragraph" w:styleId="Heading3">
    <w:name w:val="heading 3"/>
    <w:basedOn w:val="Normal"/>
    <w:link w:val="Heading3Char"/>
    <w:uiPriority w:val="9"/>
    <w:qFormat/>
    <w:rsid w:val="00601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78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851"/>
  </w:style>
  <w:style w:type="paragraph" w:styleId="Footer">
    <w:name w:val="footer"/>
    <w:basedOn w:val="Normal"/>
    <w:link w:val="FooterChar"/>
    <w:uiPriority w:val="99"/>
    <w:semiHidden/>
    <w:unhideWhenUsed/>
    <w:rsid w:val="00A578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851"/>
  </w:style>
  <w:style w:type="paragraph" w:styleId="ListParagraph">
    <w:name w:val="List Paragraph"/>
    <w:basedOn w:val="Normal"/>
    <w:uiPriority w:val="34"/>
    <w:qFormat/>
    <w:rsid w:val="00787970"/>
    <w:pPr>
      <w:ind w:left="720"/>
      <w:contextualSpacing/>
    </w:pPr>
  </w:style>
  <w:style w:type="paragraph" w:styleId="FootnoteText">
    <w:name w:val="footnote text"/>
    <w:basedOn w:val="Normal"/>
    <w:link w:val="FootnoteTextChar"/>
    <w:uiPriority w:val="99"/>
    <w:semiHidden/>
    <w:unhideWhenUsed/>
    <w:rsid w:val="00C21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E49"/>
    <w:rPr>
      <w:sz w:val="20"/>
      <w:szCs w:val="20"/>
    </w:rPr>
  </w:style>
  <w:style w:type="character" w:styleId="FootnoteReference">
    <w:name w:val="footnote reference"/>
    <w:basedOn w:val="DefaultParagraphFont"/>
    <w:uiPriority w:val="99"/>
    <w:semiHidden/>
    <w:unhideWhenUsed/>
    <w:rsid w:val="00C21E49"/>
    <w:rPr>
      <w:vertAlign w:val="superscript"/>
    </w:rPr>
  </w:style>
  <w:style w:type="paragraph" w:styleId="EndnoteText">
    <w:name w:val="endnote text"/>
    <w:basedOn w:val="Normal"/>
    <w:link w:val="EndnoteTextChar"/>
    <w:uiPriority w:val="99"/>
    <w:semiHidden/>
    <w:unhideWhenUsed/>
    <w:rsid w:val="00C21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1E49"/>
    <w:rPr>
      <w:sz w:val="20"/>
      <w:szCs w:val="20"/>
    </w:rPr>
  </w:style>
  <w:style w:type="character" w:styleId="EndnoteReference">
    <w:name w:val="endnote reference"/>
    <w:basedOn w:val="DefaultParagraphFont"/>
    <w:uiPriority w:val="99"/>
    <w:semiHidden/>
    <w:unhideWhenUsed/>
    <w:rsid w:val="00C21E49"/>
    <w:rPr>
      <w:vertAlign w:val="superscript"/>
    </w:rPr>
  </w:style>
  <w:style w:type="paragraph" w:styleId="BalloonText">
    <w:name w:val="Balloon Text"/>
    <w:basedOn w:val="Normal"/>
    <w:link w:val="BalloonTextChar"/>
    <w:uiPriority w:val="99"/>
    <w:semiHidden/>
    <w:unhideWhenUsed/>
    <w:rsid w:val="00AD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BDA"/>
    <w:rPr>
      <w:rFonts w:ascii="Tahoma" w:hAnsi="Tahoma" w:cs="Tahoma"/>
      <w:sz w:val="16"/>
      <w:szCs w:val="16"/>
    </w:rPr>
  </w:style>
  <w:style w:type="character" w:styleId="Hyperlink">
    <w:name w:val="Hyperlink"/>
    <w:basedOn w:val="DefaultParagraphFont"/>
    <w:uiPriority w:val="99"/>
    <w:semiHidden/>
    <w:unhideWhenUsed/>
    <w:rsid w:val="00327D4E"/>
    <w:rPr>
      <w:color w:val="0000FF"/>
      <w:u w:val="single"/>
    </w:rPr>
  </w:style>
  <w:style w:type="character" w:customStyle="1" w:styleId="Heading3Char">
    <w:name w:val="Heading 3 Char"/>
    <w:basedOn w:val="DefaultParagraphFont"/>
    <w:link w:val="Heading3"/>
    <w:uiPriority w:val="9"/>
    <w:rsid w:val="00601B1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1B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4813873">
      <w:bodyDiv w:val="1"/>
      <w:marLeft w:val="0"/>
      <w:marRight w:val="0"/>
      <w:marTop w:val="0"/>
      <w:marBottom w:val="0"/>
      <w:divBdr>
        <w:top w:val="none" w:sz="0" w:space="0" w:color="auto"/>
        <w:left w:val="none" w:sz="0" w:space="0" w:color="auto"/>
        <w:bottom w:val="none" w:sz="0" w:space="0" w:color="auto"/>
        <w:right w:val="none" w:sz="0" w:space="0" w:color="auto"/>
      </w:divBdr>
    </w:div>
    <w:div w:id="858154954">
      <w:bodyDiv w:val="1"/>
      <w:marLeft w:val="0"/>
      <w:marRight w:val="0"/>
      <w:marTop w:val="0"/>
      <w:marBottom w:val="0"/>
      <w:divBdr>
        <w:top w:val="none" w:sz="0" w:space="0" w:color="auto"/>
        <w:left w:val="none" w:sz="0" w:space="0" w:color="auto"/>
        <w:bottom w:val="none" w:sz="0" w:space="0" w:color="auto"/>
        <w:right w:val="none" w:sz="0" w:space="0" w:color="auto"/>
      </w:divBdr>
      <w:divsChild>
        <w:div w:id="1826319669">
          <w:marLeft w:val="576"/>
          <w:marRight w:val="0"/>
          <w:marTop w:val="120"/>
          <w:marBottom w:val="0"/>
          <w:divBdr>
            <w:top w:val="none" w:sz="0" w:space="0" w:color="auto"/>
            <w:left w:val="none" w:sz="0" w:space="0" w:color="auto"/>
            <w:bottom w:val="none" w:sz="0" w:space="0" w:color="auto"/>
            <w:right w:val="none" w:sz="0" w:space="0" w:color="auto"/>
          </w:divBdr>
        </w:div>
        <w:div w:id="1131630955">
          <w:marLeft w:val="576"/>
          <w:marRight w:val="0"/>
          <w:marTop w:val="120"/>
          <w:marBottom w:val="0"/>
          <w:divBdr>
            <w:top w:val="none" w:sz="0" w:space="0" w:color="auto"/>
            <w:left w:val="none" w:sz="0" w:space="0" w:color="auto"/>
            <w:bottom w:val="none" w:sz="0" w:space="0" w:color="auto"/>
            <w:right w:val="none" w:sz="0" w:space="0" w:color="auto"/>
          </w:divBdr>
        </w:div>
        <w:div w:id="609552036">
          <w:marLeft w:val="576"/>
          <w:marRight w:val="0"/>
          <w:marTop w:val="120"/>
          <w:marBottom w:val="0"/>
          <w:divBdr>
            <w:top w:val="none" w:sz="0" w:space="0" w:color="auto"/>
            <w:left w:val="none" w:sz="0" w:space="0" w:color="auto"/>
            <w:bottom w:val="none" w:sz="0" w:space="0" w:color="auto"/>
            <w:right w:val="none" w:sz="0" w:space="0" w:color="auto"/>
          </w:divBdr>
        </w:div>
        <w:div w:id="952594508">
          <w:marLeft w:val="576"/>
          <w:marRight w:val="0"/>
          <w:marTop w:val="120"/>
          <w:marBottom w:val="0"/>
          <w:divBdr>
            <w:top w:val="none" w:sz="0" w:space="0" w:color="auto"/>
            <w:left w:val="none" w:sz="0" w:space="0" w:color="auto"/>
            <w:bottom w:val="none" w:sz="0" w:space="0" w:color="auto"/>
            <w:right w:val="none" w:sz="0" w:space="0" w:color="auto"/>
          </w:divBdr>
        </w:div>
        <w:div w:id="1259218087">
          <w:marLeft w:val="576"/>
          <w:marRight w:val="0"/>
          <w:marTop w:val="120"/>
          <w:marBottom w:val="0"/>
          <w:divBdr>
            <w:top w:val="none" w:sz="0" w:space="0" w:color="auto"/>
            <w:left w:val="none" w:sz="0" w:space="0" w:color="auto"/>
            <w:bottom w:val="none" w:sz="0" w:space="0" w:color="auto"/>
            <w:right w:val="none" w:sz="0" w:space="0" w:color="auto"/>
          </w:divBdr>
        </w:div>
        <w:div w:id="740832585">
          <w:marLeft w:val="576"/>
          <w:marRight w:val="0"/>
          <w:marTop w:val="120"/>
          <w:marBottom w:val="0"/>
          <w:divBdr>
            <w:top w:val="none" w:sz="0" w:space="0" w:color="auto"/>
            <w:left w:val="none" w:sz="0" w:space="0" w:color="auto"/>
            <w:bottom w:val="none" w:sz="0" w:space="0" w:color="auto"/>
            <w:right w:val="none" w:sz="0" w:space="0" w:color="auto"/>
          </w:divBdr>
        </w:div>
        <w:div w:id="993794478">
          <w:marLeft w:val="576"/>
          <w:marRight w:val="0"/>
          <w:marTop w:val="120"/>
          <w:marBottom w:val="0"/>
          <w:divBdr>
            <w:top w:val="none" w:sz="0" w:space="0" w:color="auto"/>
            <w:left w:val="none" w:sz="0" w:space="0" w:color="auto"/>
            <w:bottom w:val="none" w:sz="0" w:space="0" w:color="auto"/>
            <w:right w:val="none" w:sz="0" w:space="0" w:color="auto"/>
          </w:divBdr>
        </w:div>
        <w:div w:id="904995233">
          <w:marLeft w:val="576"/>
          <w:marRight w:val="0"/>
          <w:marTop w:val="120"/>
          <w:marBottom w:val="0"/>
          <w:divBdr>
            <w:top w:val="none" w:sz="0" w:space="0" w:color="auto"/>
            <w:left w:val="none" w:sz="0" w:space="0" w:color="auto"/>
            <w:bottom w:val="none" w:sz="0" w:space="0" w:color="auto"/>
            <w:right w:val="none" w:sz="0" w:space="0" w:color="auto"/>
          </w:divBdr>
        </w:div>
        <w:div w:id="1000695910">
          <w:marLeft w:val="576"/>
          <w:marRight w:val="0"/>
          <w:marTop w:val="120"/>
          <w:marBottom w:val="0"/>
          <w:divBdr>
            <w:top w:val="none" w:sz="0" w:space="0" w:color="auto"/>
            <w:left w:val="none" w:sz="0" w:space="0" w:color="auto"/>
            <w:bottom w:val="none" w:sz="0" w:space="0" w:color="auto"/>
            <w:right w:val="none" w:sz="0" w:space="0" w:color="auto"/>
          </w:divBdr>
        </w:div>
      </w:divsChild>
    </w:div>
    <w:div w:id="1743866460">
      <w:bodyDiv w:val="1"/>
      <w:marLeft w:val="0"/>
      <w:marRight w:val="0"/>
      <w:marTop w:val="0"/>
      <w:marBottom w:val="0"/>
      <w:divBdr>
        <w:top w:val="none" w:sz="0" w:space="0" w:color="auto"/>
        <w:left w:val="none" w:sz="0" w:space="0" w:color="auto"/>
        <w:bottom w:val="none" w:sz="0" w:space="0" w:color="auto"/>
        <w:right w:val="none" w:sz="0" w:space="0" w:color="auto"/>
      </w:divBdr>
      <w:divsChild>
        <w:div w:id="450630533">
          <w:marLeft w:val="0"/>
          <w:marRight w:val="0"/>
          <w:marTop w:val="0"/>
          <w:marBottom w:val="0"/>
          <w:divBdr>
            <w:top w:val="none" w:sz="0" w:space="0" w:color="auto"/>
            <w:left w:val="none" w:sz="0" w:space="0" w:color="auto"/>
            <w:bottom w:val="none" w:sz="0" w:space="0" w:color="auto"/>
            <w:right w:val="none" w:sz="0" w:space="0" w:color="auto"/>
          </w:divBdr>
          <w:divsChild>
            <w:div w:id="1258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51BA-726B-4E11-9F1D-49E92EEF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OIT User Services</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snnlm</dc:creator>
  <cp:keywords/>
  <dc:description/>
  <cp:lastModifiedBy>snamo</cp:lastModifiedBy>
  <cp:revision>2</cp:revision>
  <cp:lastPrinted>2009-08-05T23:18:00Z</cp:lastPrinted>
  <dcterms:created xsi:type="dcterms:W3CDTF">2009-09-17T23:22:00Z</dcterms:created>
  <dcterms:modified xsi:type="dcterms:W3CDTF">2009-09-17T23:22:00Z</dcterms:modified>
</cp:coreProperties>
</file>